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C-6183/2012 vom 5. November 2013</w:t>
      </w:r>
    </w:p>
    <w:p>
      <w:r>
        <w:t>Bundesverwaltungsgericht, 2013-11-05, IT</w:t>
      </w:r>
    </w:p>
    <w:p>
      <w:r>
        <w:rPr>
          <w:b/>
        </w:rPr>
        <w:t xml:space="preserve">Quelle: </w:t>
      </w:r>
      <w:r>
        <w:t>https://mcp.opencaselaw.ch/entscheid/bvger_C-6183_2012</w:t>
      </w:r>
    </w:p>
    <w:p>
      <w:r>
        <w:t>FR: TAF C-6183/2012 du 5 novembre 2013</w:t>
      </w:r>
    </w:p>
    <w:p>
      <w:r>
        <w:t>IT: TAF C-6183/2012 del 5 novembre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di tale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 Il ricorso deve essere interposto entro 30 giorni dalla notificazione della decisione o della decisione contro cui l'opposizione è esclusa (art. 60 LPGA). Esso deve contenere le conclusioni, i motivi, l'indicazione dei mezzi di prova e la firma del ricorrente o del suo rappresentante, allegando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il pagamento di 400 franchi, quale anticipo delle presunte spese processuali, è avvenuto nel termine impartito.</w:t>
      </w:r>
    </w:p>
    <w:p>
      <w:r>
        <w:rPr>
          <w:b/>
        </w:rPr>
        <w:t>E. 2.1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w:t>
      </w:r>
    </w:p>
    <w:p>
      <w:r>
        <w:rPr>
          <w:b/>
        </w:rPr>
        <w:t>E. 2.2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2.3</w:t>
      </w:r>
    </w:p>
    <w:p>
      <w:r>
        <w:t>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2.4</w:t>
      </w:r>
    </w:p>
    <w:p>
      <w:r>
        <w:t>Per quel che concerne il diritto interno, le modifiche disposte dalla 6a revisione della LAI, entrate in vigore il 1° gennaio 2012, sono ugualmente applicabili nel caso di specie, pur tuttavia osservando che tali nuove norme non hanno comportato dei cambiamenti rispetto al vecchio diritto in merito alla valutazione dell'invalidità.</w:t>
      </w:r>
    </w:p>
    <w:p>
      <w:r>
        <w:rPr>
          <w:b/>
        </w:rPr>
        <w:t>E. 3</w:t>
      </w:r>
    </w:p>
    <w:p>
      <w:r>
        <w:t>Il ricorrente contesta la fondatezza della decisione del 6 novembre 2012, con la quale l'UAIE non ha esaminato la sua nuova domanda di prestazioni dell'assicurazione invalidità svizzera.</w:t>
      </w:r>
    </w:p>
    <w:p>
      <w:r>
        <w:rPr>
          <w:b/>
        </w:rPr>
        <w:t>E. 4.1</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130 V 71 consid. 2.2 con i rif.).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130 V 71 consid. 3.2).</w:t>
      </w:r>
    </w:p>
    <w:p>
      <w:r>
        <w:rPr>
          <w:b/>
        </w:rPr>
        <w:t>E. 4.2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Lo scopo della norma menzionata è di evitare che gli organi preposti dell'AI debbano ripetutamente chinarsi su domande di prestazioni, quando lo stato di fatto è rimasto uguale o già stato esaminato senza dare luogo a prestazioni in una precedente decisione cresciuta in giudicato (DTF 133 V 108 consid. 5.3.1 e 130 V 64 consid. 5.2.3 con i rif).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(sentenza del Tribunale federale 9C_708/2007 dell'11 settembre 2008 consid. 2.3 con i rif.).</w:t>
      </w:r>
    </w:p>
    <w:p>
      <w:r>
        <w:rPr>
          <w:b/>
        </w:rPr>
        <w:t>E. 4.3</w:t>
      </w:r>
    </w:p>
    <w:p>
      <w:r>
        <w:t>Determinanti, inoltre, per verificare l'ammissibilità di una nuova domanda sono i documenti esibiti al momento della presentazione della stessa a corredo di quanto richiesto, o, al più tardi, quelli agli atti al momento in cui la decisione di non entrata in materia è stata emanata (DTF 130 V 64 consid. 5.2.4). Questa giurisprudenza si applica anche nell'ambito della 5a revisione dell'assicurazione invalidità (sentenza del Tribunale federale 8C_436/2008 del 29 aprile 2009 consid. 3).</w:t>
      </w:r>
    </w:p>
    <w:p>
      <w:r>
        <w:rPr>
          <w:b/>
        </w:rPr>
        <w:t>E. 4.4</w:t>
      </w:r>
    </w:p>
    <w:p>
      <w:r>
        <w:t>In concreto, la decisione di rifiuto inerente la prima domanda di una rendita d'invalidità è stata emanata il 15 aprile 2009, confermata con sentenza cresciuta in giudicato del TAF del 3 maggio 2011, e la decisione di non esame della seconda domanda, qui impugnata, il 6 novembre 2012. Ne consegue che il periodo di riferimento per giudicare se è intervenuta una modifica rilevante del grado d'invalidità può essere limitato al 6 novembre 2012.</w:t>
      </w:r>
    </w:p>
    <w:p>
      <w:r>
        <w:rPr>
          <w:b/>
        </w:rPr>
        <w:t>E. 5.1</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art. 45 del regolamento 1408/71).</w:t>
      </w:r>
    </w:p>
    <w:p>
      <w:r>
        <w:rPr>
          <w:b/>
        </w:rPr>
        <w:t>E. 5.2</w:t>
      </w:r>
    </w:p>
    <w:p>
      <w:r>
        <w:t>Nella fattispecie, il ricorrente ha versato contributi all'AVS/AI svizzera per un periodo poco inferiore ai 3 anni (34 mesi). Pertanto egli adempie la condizione della durata minima di contribuzione, alla quale la legge subordina l'erogazione di una rendita. Ne consegue che resta da esaminare se egli sia invalido ai sensi di legge.</w:t>
      </w:r>
    </w:p>
    <w:p>
      <w:r>
        <w:rPr>
          <w:b/>
        </w:rPr>
        <w:t>E. 6</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6.1</w:t>
      </w:r>
    </w:p>
    <w:p>
      <w:r>
        <w:t>L'assicurato ha diritto ad una rendita intera se è invalido per almeno il 70%, a tre quarti di rendita se è invalido per almeno il 60%, ad una mezza rendita se è invalido per almeno la metà e ad un quarto di rendita se è inva­lido per almeno il 40% (art. 28 cpv. 2).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Il diritto alla rendita, secondo l'art. 29 cpv. 1 LAI, nasce al più presto dopo sei mesi dalla data in cui l'assicurato ha rivendicato il diritto alle prestazioni conformemente all'art. 29 cpv. 1 LPGA.</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6.4</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Dalla perizia particolareggiate E 213 del dott. C._______del 3 aprile 2008, prodotta nel quadro della prima domanda, emerge un'avanzata spondiloartrosi e lombosacrale con sofferenza radicolare C5-C6 bilaterale cronica ed L5-S1 bilateralmente di grado discreto più marcata a sinistra, come pure un'ipertensione arteriosa in trattamento (doc. 1). Con rapporto medico del 16 gennaio 2009 il medico dell'UAIE dott. D._______ riconosceva parzialmente le affezioni dell'insorgente rilevando tuttavia un'incapacità lavorativa del 0% relativa ad attività adattate alle sue condizioni di salute.</w:t>
      </w:r>
    </w:p>
    <w:p>
      <w:r>
        <w:rPr>
          <w:b/>
        </w:rPr>
        <w:t>E. 7.2</w:t>
      </w:r>
    </w:p>
    <w:p>
      <w:r>
        <w:t>Nell'ambito della nuova domanda, il ricorrente ha presentato una nuova perizia E213 sottoscritta dalla dott.ssa G._______, la quale diagnosticava una "ima senza sopra slivellamento sinistro; coronaropatia monovasale. Anuerisma dell'aorta toracica ascendente. Sindrome radicolare C5-C6, L5-S1 con lesione meniscale del ginocchio destro ed artrosi diffusa con deficit funzionale. Note di ats polidistrettuale. Poliposi della colecisti e colelitiasi" (doc. 78). I rapporti del medico incaricato dall'UAIE, del 23 agosto e 23 ottobre 2012, hanno rilevato che le documentazioni supplementari presentate dopo la prima domanda non comprovano una modifica delle condizioni di salute del ricorrente, sottolineando ancora un'assenza di incapacità lavorativa. In particolare con riferimento all'aneurisma dell'aorta, conseguente al infarto miocardico del agosto 2009, il medico dell'UAIE ha indicato che esso "ne contreindique pas une activité légère et sédentaire" (rapporto medico del 18 ottobre 2012 pag. 11).</w:t>
      </w:r>
    </w:p>
    <w:p>
      <w:r>
        <w:rPr>
          <w:b/>
        </w:rPr>
        <w:t>E. 7.3</w:t>
      </w:r>
    </w:p>
    <w:p>
      <w:r>
        <w:t>Visto quanto precede, questo Tribunale può affermare che la documentazione esibita nell'ambito della seconda domanda di rendita non evidenzia alcun nuovo elemento di rilievo a favore della tesi di un peggioramento rilevante dello stato di salute del ricorrente durante il periodo d'esame pertinente, ossia dal 15 aprile 2009 al 6 novembre 2012. Siccome il ricorrente non ha reso plausibile che il grado della sua invalidità si è modificato in misura rilevante per il suo diritto a prestazioni assicurative durante questo periodo (art. 87 cpv. 2 e 3 OAI), è a giusto titolo che l'UAIE non è entrato nel merito della nuova domanda e non ha disposto ulteriori accertamenti.</w:t>
      </w:r>
    </w:p>
    <w:p>
      <w:r>
        <w:rPr>
          <w:b/>
        </w:rPr>
        <w:t>E. 7.4</w:t>
      </w:r>
    </w:p>
    <w:p>
      <w:r>
        <w:t>Di conseguenza, la decisione dell'UAIE del 6 novembre 2012 deve essere confermata e il ricorso respinto.</w:t>
      </w:r>
    </w:p>
    <w:p>
      <w:r>
        <w:rPr>
          <w:b/>
        </w:rPr>
        <w:t>E. 8</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9</w:t>
      </w:r>
    </w:p>
    <w:p>
      <w:r>
        <w:t>Secondo l'art. 63 cpv. 1 PA, le spese processuali sono di regola messe a carico della parte soccombente, nel caso di specie a A._______.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w:t>
      </w:r>
    </w:p>
    <w:p>
      <w:r>
        <w:rPr>
          <w:b/>
        </w:rPr>
        <w:t>E. 10</w:t>
      </w:r>
    </w:p>
    <w:p>
      <w:r>
        <w:t>Per quanto concerne l'UAIE, le autorità federali non hanno diritto ad un'indennità a titolo di ripetibili (art. 7 cpv. 3 del Regolamento del 21 febbraio 2008 sulle tasse e sulle spese ripetibili nelle cause dinanzi al Tribunale amministrativo federale [TS-TAF, RS 173.320.2]).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