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C-6179/2012 vom 19. März 2014</w:t>
      </w:r>
    </w:p>
    <w:p>
      <w:r>
        <w:t>Bundesverwaltungsgericht, 2014-03-19, FR</w:t>
      </w:r>
    </w:p>
    <w:p>
      <w:r>
        <w:rPr>
          <w:b/>
        </w:rPr>
        <w:t xml:space="preserve">Quelle: </w:t>
      </w:r>
      <w:r>
        <w:t>https://mcp.opencaselaw.ch/entscheid/bvger_C-6179_2012</w:t>
      </w:r>
    </w:p>
    <w:p>
      <w:r>
        <w:t>FR: TAF C-6179/2012 du 19 mars 2014</w:t>
      </w:r>
    </w:p>
    <w:p>
      <w:r>
        <w:t>IT: TAF C-6179/2012 del 19 marzo 2014</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w:t>
      </w:r>
    </w:p>
    <w:p>
      <w:r>
        <w:t>Le présent litige porte sur la question de la prise en charge par l'assurance-invalidité suisse de prestations d'assurance sous forme de mesures de réadaptation d'ordre professionnel. Un éventuel droit à une rente d'invalidité ne peut, par contre, pas faire l'objet de la présente procédure puisque la décision attaquée ne concerne pas cette question.</w:t>
      </w:r>
    </w:p>
    <w:p>
      <w:r>
        <w:rPr>
          <w:b/>
        </w:rPr>
        <w:t>E. 5</w:t>
      </w:r>
    </w:p>
    <w:p>
      <w:r>
        <w:t>Selon l'art. 8 al. 1 LAI, les assurés invalides ou menacés d'une invalidité (art. 8 LPGA) ont droit à des mesures de réadaptation pour autant: a) que ces mesures soient nécessaires et de nature à rétablir, maintenir ou améliorer leur capacité de gain ou leur capacité d'accomplir leur travaux habituels, b) que les conditions d'octroi des différentes mesures soient remplies. Les mesures de réadaptation comprennent selon l'art. 8 al. 3 let. b LAI des mesures d'ordre professionnel (orientation professionnelle, formation professionnelle initiale, reclassement, placement, aide en capital).</w:t>
      </w:r>
    </w:p>
    <w:p>
      <w:r>
        <w:rPr>
          <w:b/>
        </w:rPr>
        <w:t>E. 6</w:t>
      </w:r>
    </w:p>
    <w:p>
      <w:r>
        <w:t>Les documents médicaux versés au dossier laissent conclure, du point de vue objectif, à une capacité de travail résiduelle de l'assuré dans la dernière activité d'emballage. L'assuré, quant à lui, a argué aussi bien envers l'OAI-BS en juillet 2012 que dans son recours du 30 novembre 2012 qu'il présentait une incapacité totale de travail. Sa capacité subjective de réadaptation (cf. notamment arrêt du Tribunal fédéral du 1er février 2010 9C_386/2009 consid. 2.4) fait donc défaut comme l'a fait remarquer l'OAI-BS dans sa prise de position du 21 janvier 2013. Les conditions pour l'octroi de mesures de réadaptation ne sont par conséquent pas (ou du moins plus) remplies et c'est à juste titre que l'OAIE a mis fin à son aide au placement par la décision du 19 novembre 2012.</w:t>
      </w:r>
    </w:p>
    <w:p>
      <w:r>
        <w:rPr>
          <w:b/>
        </w:rPr>
        <w:t>E. 7.1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7.2</w:t>
      </w:r>
    </w:p>
    <w:p>
      <w:r>
        <w:t>Les frais de procédure, fixés à 400 francs, sont mis à la charge du recourant (art. 63 al. 1 PA, applicable par le truchement de l'art. 37 LTAF). Ils sont compensés par l'avance de frais du même montant dont il s'est acquitté au cours de l'instruction.</w:t>
      </w:r>
    </w:p>
    <w:p>
      <w:r>
        <w:rPr>
          <w:b/>
        </w:rPr>
        <w:t>E. 7.3</w:t>
      </w:r>
    </w:p>
    <w:p>
      <w:r>
        <w:t>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