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C-6170/2008 vom 18. Januar 2012</w:t>
      </w:r>
    </w:p>
    <w:p>
      <w:r>
        <w:t>Bundesverwaltungsgericht, 2012-01-18, DE</w:t>
      </w:r>
    </w:p>
    <w:p>
      <w:r>
        <w:rPr>
          <w:b/>
        </w:rPr>
        <w:t xml:space="preserve">Quelle: </w:t>
      </w:r>
      <w:r>
        <w:t>https://mcp.opencaselaw.ch/entscheid/bvger_C-6170_2008</w:t>
      </w:r>
    </w:p>
    <w:p>
      <w:r>
        <w:t>FR: TAF C-6170/2008 du 18 janvier 2012</w:t>
      </w:r>
    </w:p>
    <w:p>
      <w:r>
        <w:t>IT: TAF C-6170/2008 del 18 gennaio 2012</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als materielle Verfügungsadressatin zur Be­schwer­de legitimiert (Art. 48 Abs. 1 VwVG). Auf die im Übrigen frist- und formge­recht eingereichte Beschwerde ist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Inwieweit Rechtsänderungen zu berücksichtigen sind, hängt von der massgeblichen intertemporalen Regelung ab. Fehlt im Gesetz eine Übergangsbestimmung, so entscheidet das Bundesverwaltungsgericht auf­grund allgemeiner intertemporaler Grundsätze (André Moser / Mi­chael Beusch / Lorenz Kneubühler, Prozessieren vor dem Bundesver­waltungsgericht, Basel 2008, Rz. 2.202 mit Hinweisen).</w:t>
      </w:r>
    </w:p>
    <w:p>
      <w:r>
        <w:rPr>
          <w:b/>
        </w:rPr>
        <w:t>E. 2.2</w:t>
      </w:r>
    </w:p>
    <w:p>
      <w:r>
        <w:t>Am 1. Januar 2008 traten das neue Bundesgesetz vom 16. De­zem­ber 2005 über die Ausländerinnen und Ausländer (Ausländergesetz, AuG, SR 142.20) und seine Ausführungsverordnungen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ohne Belang ist, ob das Verfahren auf Gesuch hin - so explizit Art. 126 Abs. 1 AuG - oder von Amtes wegen eröffnet wurde (vgl. BVGE 2008/1 E. 2 mit Hinweisen). Das Verfahren auf Verlängerung der am 20. März 2007 abgelaufenen Aufenthaltsbewilligung der Beschwerdeführerin war bereits vor Inkrafttreten des neuen Rechts rechtshängig. Insoweit bleibt für die vorliegende Streitsache das alte materielle Recht massgebend. Einschlägig sind dabei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Die Wegweisung der Beschwerdeführerin aus der Schweiz und der Wegweisungsvollzug dagegen unterstehen bereits dem neuen Recht, denn das entsprechende Verfahren vor der Vorinstanz wurde erst nach dem Inkrafttreten des neuen Rechts eingeleitet (vgl. Urteil des Bundesverwaltungsgerichts C-5810/2009 vom 27. Dezember 2011 E. 1.2 mit Hinweisen). Im Übrigen gilt, dass grundsätzlich das neue Ver­fahrens- und Organisationsrecht zur Anwendung gelangt (Art. 126 Abs. 2 AuG).</w:t>
      </w:r>
    </w:p>
    <w:p>
      <w:r>
        <w:rPr>
          <w:b/>
        </w:rPr>
        <w:t>E. 3.1</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Die Zustimmungsbedürftigkeit des kantonalen Entscheides er­gibt sich im vorliegenden Fall aus Art. 1 Abs. 1 Bst. a der Zustimmungsverordnung in Verbindung mit den Wei­sungen und Er­läuterungen des BFM über Ein­reise, Auf­enthalt und Ar­beitsmarkt (ANAG-Weisun­gen, 3. Aufl., Bern, Mai 2006). Letztere sehen unter Ziff. 132.4 Bst. e vor, dass die Verlän­ge­rung der Aufenthaltsbewilli­gung einer ausländischen Person nach Schei­dung vom schwei­zerischen Ehegat­ten oder nach dessen Tod dem BFM zur Zu­stimmung zu unterbreiten ist, falls die ausländische Person nicht aus einem Mitglied­staat der EFTA oder der EG stammt. Gemäss Art. 19 Abs. 5 ANAV darf eine entsprechende kan­tonale Bewilligung erst ausge­stellt wer­den, wenn die Zustimmung des BFM vorliegt; sie gilt ansonsten als un­gültig.</w:t>
      </w:r>
    </w:p>
    <w:p>
      <w:r>
        <w:rPr>
          <w:b/>
        </w:rPr>
        <w:t>E. 3.2</w:t>
      </w:r>
    </w:p>
    <w:p>
      <w:r>
        <w:t>Die Ehe der Beschwerdeführerin mit einem Schweizer Bürger ist ge­schieden worden, bevor ihr aus Art. 7 Abs. 1 Satz 2 ANAG ein zivilstands­unabhängiger Anspruch auf Verlängerung ihrer Aufenthaltsbewilligung er­wachsen konnte (vgl. BGE 128 II 145 E. 1.1.4 S. 149 mit Hinweisen). Ei­ne andere Anspruchsgrundlage des Landes- und Völkerrechts besteht nicht. Eine solche kann namentlich nicht in Art. 50 AuG erblickt werden, der zwar neue Ansprüche auf Verlängerung der Auf­enthaltsbewilligung nach Auflösung der Ehe schafft, auf die vorliegende Streitsache jedoch we­gen der intertemporalen Unterstellung unter das alte Recht nicht an­wend­bar ist (vgl. oben Ziff. 2.2). Bei dieser Rechtslage liegt der Entscheid über die Erteilung oder Verweigerung der Zustimmung im pflichtgemäs­sen Ermessen des BFM (Art. 4 ANAG). Eine Bindung an die kantonale Be­urteilung besteht nicht. Das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4</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6. Aufl., Zürich und St. Gallen 2010, S. 138 f.).</w:t>
      </w:r>
    </w:p>
    <w:p>
      <w:r>
        <w:rPr>
          <w:b/>
        </w:rPr>
        <w:t>E. 5.1</w:t>
      </w:r>
    </w:p>
    <w:p>
      <w:r>
        <w:t>Richtschnur und äusseren Rahmen der Interessenabwägung bilden die Grundentscheidungen des Ausländerrechts, namentlich die in Art. 1 BVO formulierten migrationspolitischen Ziele und die damit zusammenhän­gende restriktive Einwanderungspolitik gegenüber erwerbstä­tigen ausländischen Personen aus dem Nicht-EU/EFTA-Raum (in der Folge: Drittstaatsangehörige).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zweiter Satz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 1786/2007 vom 7. Juni 2010 E. 7.1 mit Hinweis; ferner Ziff. 654 ANAG-Weisungen).</w:t>
      </w:r>
    </w:p>
    <w:p>
      <w:r>
        <w:rPr>
          <w:b/>
        </w:rPr>
        <w:t>E. 5.2</w:t>
      </w:r>
    </w:p>
    <w:p>
      <w:r>
        <w:t>Unter dem Gesichtspunkt der Verhältnismässigkeit ist zu prüfen, ob die Durchsetzung der restriktiven Migrationspolitik im konkreten Einzelfall zu unbilligen, vom öffentlichen Interesse an der Durchsetzung einer restrikti­ven Einwanderungspolitik nicht gedeckten Härten bei der betroffe­nen ausländischen Person führt.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C-1786/2007 vom 7. Juni 2010 E. 7.2 mit Hinweis; ferner Ziff. 654 ANAG-Weisungen).</w:t>
      </w:r>
    </w:p>
    <w:p>
      <w:r>
        <w:rPr>
          <w:b/>
        </w:rPr>
        <w:t>E. 5.3</w:t>
      </w:r>
    </w:p>
    <w:p>
      <w:r>
        <w:t>Welcher Grad an Betroffenheit in den persönlichen Verhältnissen notwendig ist, damit das öffentliche Interesse an der Durchsetzung der restriktiven Migrationspolitik gegenüber Drittausländern zurückzustehen hat, ist vorab mit Blick auf die Regelung des Art. 7 Abs. 1 ANAG zu beantworten,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 in letzterem Zusammenhang - allfälligen Gewalterfahrungen in der Ehe sowie der Existenz gemeinsamer Kinder. Je mehr diese Elemente ins Gewicht fallen, umso eher wird man von einer hinreichend schweren Betroffenheit ausgehen können. Umgekehrt rechtfertigt sich ein umso strengerer Massstab, als sich die Härtesituation nicht gerade aus den oben genannten ehespezifischen Elementen ableiten lässt (vgl. Urteil des Bundesverwaltungsgerichts C-1786/2007 vom 7. Juni 2010 E. 7.3 mit Hinweis; vgl. schliesslich die abgestufte Regelung in Art. 50 AuG).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w:t>
      </w:r>
    </w:p>
    <w:p>
      <w:r>
        <w:rPr>
          <w:b/>
        </w:rPr>
        <w:t>E. 6.1</w:t>
      </w:r>
    </w:p>
    <w:p>
      <w:r>
        <w:t>Die kinderlos gebliebene Ehe der Beschwerdeführerin hatte lediglich 1 Jahr und 10 Monate Bestand, wobei das eheliche Zusammenleben bereits nach 1 Jahr und 2 Monaten definitiv aufgegeben wurde. Soweit sind keine Elemente zu erkennen, die im Sinne der vorstehenden Erwä­gungen besonderer Berücksichtigung bedürften. Anders verhält es sich mit der ehelichen Gewalterfahrung der Beschwerdeführerin. Mit Urteil des Strafgerichts Basel-Stadt vom 1. Dezember 2006 wurde ihr Ehemann der fahrlässigen Körperverletzung und der mehrfachen Tätlichkeiten zu ihren Lasten für schuldig erklärt und zu einer Busse von 1'000 Franken verurteilt. Das Gericht sah es als erwiesen an, dass er der Beschwerdeführerin bei vier Gelegenheiten Ohrfeigen gab, wobei er sie einmal unabsichtlich am Mund traf. Vom Vorwurf der Drohungen wurde der Ehemann jedoch freigesprochen. Das Verschulden des Ehemannes wertete das Strafgericht als insgesamt eher leicht. Die Folgen der Körperverletzung und der Tätlichkeiten erschienen nicht besonders schwer, und die Taten seien im Rahmen einer von ständigen Streitereien geprägten Beziehung begangen worden.</w:t>
      </w:r>
    </w:p>
    <w:p>
      <w:r>
        <w:rPr>
          <w:b/>
        </w:rPr>
        <w:t>E. 6.2</w:t>
      </w:r>
    </w:p>
    <w:p>
      <w:r>
        <w:t>Die Rechtsprechung zum neuen Art. 50 Abs. 1 Bst. b und Abs. 2 AuG geht davon aus, dass die eheliche Gewalt ein gewisses Mindestmass an Intensität erreichen muss, soll sie rechtliche Relevanz erlangen. Sie muss derart intensiv sein, dass die physische oder psychische Integrität des Opfers im Falle der Aufrechterhaltung der ehelichen Gemeinschaft schwer beeinträchtigt würde. Zumindest muss erstellt sein, dass vom betroffenen Ausländer nicht verlangt werden kann, mit dem Ehepartner zusammen zu bleiben. Das bloss gelegentliche Anschreien bzw. verbale Konflikte in ehelichen Krisensituationen oder etwa eine einzige Ohrfeige stellen prinzipiell noch keine derartige Situation dar. Einen Anspruch nach Art. 50 Abs. 1 Bst. b AuG vermag auch eine einmalige tätliche Auseinandersetzung, in deren Folge der Ausländer in psychischem Ausnahmezustand und mit Kratzspuren im Gesicht einen Arzt aufsuchte, nicht zu begründen, zumal wenn es anschliessend zu einer Wiederannäherung der Eheleute kommt. Das Gleiche gilt grundsätzlich, wenn der Ehepartner den Ausländer nach einem Streit aus der Wohnung vertreibt, ohne dass das Opfer anhaltende körperliche oder psychische Schäden davon trägt (vgl. Urteil des Bundesgerichts 2C_155/2011 vom 7. Juli 2011 E. 4.3 mit zahlreichen Hinweisen). Nichts wesentlich anderes gilt im Anwendungsbereich der ermessensgelenkten Verlängerung der Aufenthaltsbewilligung im Anwendungsbereich des ANAG und seiner Ausführungsverordnungen.</w:t>
      </w:r>
    </w:p>
    <w:p>
      <w:r>
        <w:rPr>
          <w:b/>
        </w:rPr>
        <w:t>E. 6.3</w:t>
      </w:r>
    </w:p>
    <w:p>
      <w:r>
        <w:t>Diese von der Rechtsprechung gezogene Grenze zur rechtlich relevan­ten ehelichen Gewalt wurde in casu sicherlich überschritten. Gemes­sen an der Bandbreite möglicher Formen ehelicher Gewalt aller­dings wiegen die Übergriffe eher leicht. Dies sowohl angesichts ihrer eher geringen körperlichen Folgen als auch des Umstands, dass sie im Rahmen einer von ständigen Streitigkeiten geprägten Ehe erfolgten, wobei of­fensichtlich nicht immer eindeutig war, wer Täter und wer Opfer ist. Ent­sprechende Feststellungen können dem Strafurteil vom 1. Dezember 2006 und dem aus Anlass einer handgreiflichen Aus­einandersetzung zwi­schen den Ehegatten erstellten Rapport der Kantonspolizei Basel-Stadt vom 27. Juni 2006 entnommen werden. Auf eine ambivalente Haltung der Beschwerdeführerin zur Gewalt deutet eine handgreifliche Auseinandersetzung mit Kolleginnen hin, in die sie im Sommer 2007 verwickelt war und die ihr eine Strafanzeige wegen Körperverletzung ein­brachte (vgl. Rapport der Kantonspolizei Basel-Stadt vom 26. Juni 2007). Schliesslich weist die Vorinstanz unter Berufung auf die bundesverwaltungsgerichtli­che Rechtsprechung zu Recht darauf hin, dass die Kürze des ehelichen Zusammenlebens in casu die Bedeutung der ehelichen Gewalt als Härtefallkriterium erheblich relativiert (Urteil des Bundesverwaltungs­gerichts C-5909/2007 vom 25. November 2009 E. 9 mit Hinweisen). Bei der Prüfung der Härtefallvoraussetzungen rechtfertigt sich deshalb ein vergleichsweise strenger Beurteilungsmassstab.</w:t>
      </w:r>
    </w:p>
    <w:p>
      <w:r>
        <w:rPr>
          <w:b/>
        </w:rPr>
        <w:t>E. 6.4</w:t>
      </w:r>
    </w:p>
    <w:p>
      <w:r>
        <w:t>Die Beschwerdeführerin ist im Jahre 2001 im Alter von 15 Jahren in die Schweiz gelangt und hält sich seit 10 ½ Jahren hier auf. Die Aufenthaltsdauer ist an sich schon vergleichsweise lang. Zusätzliches Gewicht erhält sie im vorliegenden Fall dadurch, dass die Beschwerdeführerin in der Schweiz das Ende ihrer Pubertät und die gesamte Adoleszenz verbrachte, hier ihre obligatorischen Schulzeit abschloss und den Übertritt in das Erwerbsleben vollzog. Auch wenn sie sich zur Art und Intensität ihrer Bindungen zur Schweiz nicht äussert, so kann angesichts der Bedeutung der in der Schweiz verbrachten Jahre für die Formung einer Persönlichkeit mit Fug von einer fortgeschrittenen Vernetzung der Beschwerdeführerin mit ihrem schweizerischen Umfeld ausgegangen werden. Gleichzeitig ist jedoch auch festzuhalten, dass die Beschwerdeführerin von ihren Eltern in einem kritischen Alter aus ihrer heimatlichen Umgebung herausgerissen und in ein ihr völlig neues soziokulturelles Umfeld verpflanzt wurde. Dieser Bruch blieb nicht ohne Auswirkungen auf ihr weiteres Leben. Namentlich ihr schulischer und beruflicher Werdegang scheint Schaden genommen zu haben. Im Iran noch für den Besuch eines Gymnasiums vorgesehen, gelangte sie in der Schweiz über das Mittelmass nicht hinaus, heiratete sehr früh (vor der Vollendung ihres 19. Lebensjahres) und verzichtete mit Blick auf die Ehe auf eine Berufsausbildung. Dementsprechend unterdurchschnittlich stellt sich die wirtschaftliche Integration der Beschwerdeführerin dar. Ohne Berufsausbildung nahm sie erstmals im September 2007 eine Erwerbstätigkeit auf, damals als Serviceangestellte in einer Pizzeria. Es folgten kürzere Einsätze als Aushilfe in einem Fitnessstudio, als Verkäuferin in einem Kleiderladen und als Barkeeperin. Die letztere Stelle, die sie rund ein Jahr innehatte, gab sie im März 2010 auf. Anschliessend war sie längere Zeit arbeitslos. Am 1. September 2011 nahm sie eine Anstellung als Verkäuferin von Telekommunikationsleistungen an. Soweit bekannt, übt sie diese Tätigkeit immer noch aus. Zwar bezog die Beschwerdeführerin keine wirtschaftliche Sozialhilfe, was wohl nicht zuletzt deshalb möglich war, weil sie bei ihren Eltern leben konnte. Sie ist jedoch erheblich überschuldet. Dem Auszug aus dem Betreibungsregister können für den Zeitraum zwischen April 2009 und Ende Oktober 2011 28 Betreibungen über ein Forderungstotal von Fr. 31'612.10 und 17 offene Verlustscheine in der Höhe von Fr. 22'282.30 entnommen werden. Soweit die Beschwerdeführerin ihre Überschuldung mit Hinweis auf ihren gesundheitlichen Zustand (dazu später) zu entschuldigen scheint, ist ihr entgegenzuhalten, dass ein Zusammenhang nicht substantiiert dargelegt wird und sie bereits vor dem Auftreten gesundheitlicher Probleme Betreibungen und Verlustscheine erwirkt hatte.</w:t>
      </w:r>
    </w:p>
    <w:p>
      <w:r>
        <w:rPr>
          <w:b/>
        </w:rPr>
        <w:t>E. 6.5</w:t>
      </w:r>
    </w:p>
    <w:p>
      <w:r>
        <w:t>Der von Amtes wegen eingeholte Auszug aus dem Strafregister der Beschwerdeführerin enthält zwar keine Einträge. Den Akten kann jedoch entnommen werden, dass sie in der Vergangenheit verschiedentlich negativ in Erscheinung getreten ist. Am 26. April 2007 rapportierte die Stadtpolizei Zürich gegen die Beschwerdeführerin wegen geringfügigem Ladendiebstahl. Die Schadenssume betrug Fr. 259.70. Diese Zuwiderhandlung wird von der Beschwerdeführerin eingestanden. Am 26. Juni 2007 folgte ein Rapport der Kantonspolizei Basel-Stadt gegen die Beschwerdeführerin wegen Diebstahls (zwei Mobiltelefone, Ladegerät und Bargeld im Gesamtbetrag von Fr. 250.00), Körperverletzung (Verbrennung durch Zigarette, Kratzwunden, Prellungen, Haarausriss), Hausfriedensbruchs und Urkundenfälschung (Beitritt zu einem Buchclub unter fremdem Namen) zum Nachteil einer Kollegin. Zu einer strafgerichtlichen Beurteilung kam es nicht, weil die Geschädigte ihren Strafantrag zurückzog, wie die Beschwerdeführerin in ihrer Rechtsmittelschrift darlegt. Am 13. November 2007 schliesslich erging gegen die Beschwerdeführerin ein Strafbefehl wegen mehrfacher Zuwiderhandlung gegen das Transportgesetz. Mit der Beschwerdeführerin sind diese Vorfälle als Bagatellen zu bewerteten, die zudem allesamt vier Jahre zurückliegen. Der strafrechtliche Leumund der Beschwerdeführerin ist deshalb im Wesentlichen nicht zu beanstanden. Über alle Zweifel erhaben ist ihre Haltung der schweizerischer Rechtsordnung gegenüber jedoch nicht. Es bleibt in diesem Zusammenhang zu erwähnen, dass die Beschwerdeführerin im Frühling 2006 während dreier Wochen besuchsweise im Iran weilte. Nachdem die kantonale Migrationsbehörde davon Kenntnis erlangt hatte, forderte sie die Beschwerdeführerin auf, ihren Reisepass vollständig fotokopiert einzureichen. Dieser Aufforderung kam sie jedoch nicht nach, weil sie den Reisepass angeblich verloren habe. Irgendeinen Beleg für die Behauptung reichte sie jedoch nicht ein. In ähnliche Richtung weist der Umstand, dass die Beschwerdeführerin der Aufforderung des Bundesverwaltungsgerichts zur Beibringung eines Strafregisterauszugs mit der Begründung nicht nachkam, sie verfüge über keinen regulären Ausweis (Eingabe vom 7. November 2011). Das trifft offensichtlich nicht zu. Dem Bundesverwaltungsgericht ist bekannt, dass die Beschwerdeführerin über einen am 5. Januar 2011 ausgestellten ordentlichen iranischen Reisepass verfügt, mit dem sie von der kantonalen Migrationsbehörde im Jahr 2011 zwei Rückreisevisa erwirken konnte. Diese auf den ersten Blick belanglosen Vorfälle sind insoweit von Relevanz, als die Eltern und der Bruder der Beschwerdeführerin es bis anhin verstanden haben, sich durch Verweigerung ihrer Mitwirkung dem Vollzug der gegen sie bestehenden rechtskräftigen Wegweisungen zu entziehen. Die Beschwerde­führerin erweckt mit ihrem Verhalten den Anschein, als ob sie sich diese Option vorsorglich ebenfalls freihielte und aus diesem Grund irreführende Angaben zu ihre Reisepapieren macht.</w:t>
      </w:r>
    </w:p>
    <w:p>
      <w:r>
        <w:rPr>
          <w:b/>
        </w:rPr>
        <w:t>E. 6.6</w:t>
      </w:r>
    </w:p>
    <w:p>
      <w:r>
        <w:t>Inwieweit es der Beschwerdeführerin als junger Frau zugemutet wer­den kann, in den "Gottesstaat" Iran zurückzukehren und dort zu leben, was diese vehement in Abrede stellt, lässt sich nicht in allgemeiner Weise gestützt auf die dort herrschenden Verhältnisse beantworten. Wesentlich sind die konkreten Lebensumstände der Beschwerdeführerin, wobei sich die Zumutbarkeit nach objektiven Kriterien und nicht nach Massgabe persön­licher Vorlieben beurteilt. Auf dieser Grundlage ist zwar einzuräu­men, dass der Beschwerdeführerin eine Rückkehr in den Iran und eine Wie­dereingliederung in die dortigen Verhältnisse sicherlich schwer fallen würde. Als schlichtweg unmöglich kann die Wiedereingliederung jedoch nicht beurteilt werden. Die Beschwerdeführerin beherrscht die persische Sprache und verliess erst im Alter von 15 Jahren ihre Heimat. Diese be­suchte sie später im Frühling 2006 von der Schweiz aus während mehre­ren Wochen. Mit den dortigen Verhältnissen dürfte sie somit vertraut sein. Hinzu tritt, dass die Beschwerdeführerin gemäss den Aussagen ihrer nächs­ten Familienangehörigen zu Handen ihres Asylverfahrens wirtschaft­lich sehr guten Verhältnissen entstammt. Ihre Familie führte in der Heimatstadt ein erfolgreiches Handelsunternehmen und verfügt dort nach wie vor über Grundbesitz und sonstiges Vermögen, das vom älteren Bruder der Beschwerdeführerin - einem Architekten von Beruf - verwaltet wird. Zudem leben zahlreiche weitere Verwandte in der Heimatstadt der Be­schwerdeführerin. Schliesslich gilt zu bedenken, dass die Beschwerdefüh­rerin nicht alleine in den Iran zurückkehren muss. Ihre El­tern und ihr Bruder, bei denen sie derzeit wohnt, halten sich nach der rechts­kräftigen Ablehnung des zweiten Asylgesuchs illegal in der Schweiz auf und sind zur Ausreise verpflichtet. Einer Rückkehr im Kreise der Ge­samtfamilie steht somit nicht nur nichts entgegen, sie wäre sogar gebo­ten. Insoweit geht die ohnehin unsubstantiierte Argumentation der Be­schwerdeführerin an der Sache vorbei, sie müsste im Iran zum älteren Bru­der ziehen, der fundamentalistisch eingestellt sei und sie auch schon mal geschlagen habe, weil er mit ihrem Lebenswandel nicht einverstan­den gewesen sei.</w:t>
      </w:r>
    </w:p>
    <w:p>
      <w:r>
        <w:rPr>
          <w:b/>
        </w:rPr>
        <w:t>E. 6.7</w:t>
      </w:r>
    </w:p>
    <w:p>
      <w:r>
        <w:t>Die Beschwerdeführerin bringt mit ihrer Eingabe vom 7. November 2011 erstmals vor, dass sie seit bald zwei Jahren wegen Verdachts auf Mul­tiple Sklerose und wegen eines Gehirntumors in ärztlicher Behand­lung stehe. Dass die notwendige Behandlung auch im Iran möglich wäre, be­streitet die Beschwerdeführerin nicht. Sie macht jedoch geltend, dass der Iran kein Krankenkassensystem schweizerischer Ausprägung kenne, so­dass sie gar nicht in der Lage wäre, die notwendige Behandlung zu finan­zieren. Dieser nicht weiter substantiierte Einwand verfängt jedoch schon deshalb nicht, weil die Familie der Beschwerdeführerin im Iran wirt­schaftlich sehr gut situiert ist, wie zu Handen des Asylverfahrens immer wie­der versichert wurde. Darauf wurde bereits weiter oben eingegangen. Die Unerschwinglichkeit der medizinischen Behandlung im Falle eines ungenügenden öffentlichen Gesundheitssystems ist daher keineswegs dargetan. Zudem finden die diagnostischen Angaben der Beschwerdeführerin in der eingereichten ärztlichen Dokumentation keine Grundlage. Dort ist von einem Schmerzsyndrom des rechten Armes unklarer Ätiologie die Rede, wobei die behandelnden Ärzte vor allem orthopädische Ursachen in Betracht ziehen, ferner von episodischen Spannungskopfschmerzen, einer Developmental Venous Anomaly (DVA) und einer anfangs 2010 als Zufallsbefund festgestellten Raumforderung am Kleinhirnwurm links unklarer Ätiologie. In letzterem Zusammenhang gehen die behandelnden Ärzte differentialdiagnostisch von einem niedriggradigen Astrozytom aus. Eine Lumbalpunktion lehnte die Beschwer­deführe­rin jedoch ab, sodass sich die bisherige ärztliche Behandlung im Wesentlichen auf regelmässige Verlaufskontrollen mittels Magnet­resonanz­tomographie (MRT) beschränken, welche die Beschwerde­führerin auch schon mal unentschuldigt ausfallen liess. Eine Ver­schlechterung des Befunds konnte bisher nicht festgestellt werden. Drin­gender Handlungsbedarf, der einen weiteren Aufenthalt der Beschwer­deführerin in der Schweiz erforderlich machen würde, ist unter den gegebenen Umständen nicht ersichtlich (vgl. dazu Urteil des Bundes­verwaltungsgerichts C-6700/2008 vom 30. November 2011 E. 5.6.3 mit Hin­weisen).</w:t>
      </w:r>
    </w:p>
    <w:p>
      <w:r>
        <w:rPr>
          <w:b/>
        </w:rPr>
        <w:t>E. 7</w:t>
      </w:r>
    </w:p>
    <w:p>
      <w:r>
        <w:t>Eine abschliessende Würdigung ergibt, dass die Beschwerdeführerin durch den Verlust des Aufenthaltsrechts in der Schweiz zwar empfindlich in ih­ren persönlichen Verhältnissen getroffen wird. Der Eingriff kann je­doch nicht als derart schwer angesehen werden, dass dem privaten In­teresse an der weiteren Regelung des Aufenthaltes gegenüber dem öf­fentlichen Interesse an der Durchsetzung der restriktiven Migrationspolitik - Personen aus dem Nicht-EFTA/EU-Raum betreffend - im Rahmen einer pflichtgemässen Ermessensausübung und auf der Grund­lage des zur Anwendung gelangenden strengen Beurteilungs­massstabs Vorrang eingeräumt werden könnte. Die Ver­weigerung der Zustimmung durch die Vorinstanz ist daher nicht zu beanstan­den.</w:t>
      </w:r>
    </w:p>
    <w:p>
      <w:r>
        <w:rPr>
          <w:b/>
        </w:rPr>
        <w:t>E. 8</w:t>
      </w:r>
    </w:p>
    <w:p>
      <w:r>
        <w:t>Aus der Rechtmässigkeit der Zustimmungsverweigerung folgt ohne weiteres die Rechtmässigkeit der Wegweisung der Beschwerdeführerin (vgl. Art. 64 Abs. 1 Bst. c AuG). Es bliebe zu prüfen, ob dem Vollzug der Wegweisung Hindernisse entgegenstehen, ob namentlich eine Rückkehr der Beschwerdeführerin in den Iran für sie wegen der dortigen Situation oder aus gesundheitlichen Gründen mit einer konkreten Gefahr verbunden und der Vollzug daher unzumutbar wäre (Art. 83 Abs. 4 AuG). Diese Frage wurde jedoch bereits weiter oben im Zusammenhang mit der Beurteilung der privaten, auf Verlängerung der Aufenthaltsbewilligung gerichteten Interessen der Beschwerdeführerin erschöpfend behandelt. Die angefoch­tene Verfügung erweist sich daher auch diesbezüglich als rechtmässig.</w:t>
      </w:r>
    </w:p>
    <w:p>
      <w:r>
        <w:rPr>
          <w:b/>
        </w:rPr>
        <w:t>E. 9</w:t>
      </w:r>
    </w:p>
    <w:p>
      <w:r>
        <w:t>Abschliessend ist festzuhalten, dass die angefochtene Verfügung im Lichte von Art. 49 VwVG nicht zu beanstanden ist. Die Beschwerde ist deshalb abzuweisen.</w:t>
      </w:r>
    </w:p>
    <w:p>
      <w:r>
        <w:rPr>
          <w:b/>
        </w:rPr>
        <w:t>E. 10</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[SR 173.320.2]).</w:t>
      </w:r>
    </w:p>
    <w:p>
      <w:r>
        <w:rPr>
          <w:b/>
        </w:rPr>
        <w:t>E. 11</w:t>
      </w:r>
    </w:p>
    <w:p>
      <w:r>
        <w:t>Das vorliegende Urteil ist endgültig (Art. 83 Bst. c Ziff. 2 und Ziff. 4 des Bundesgerichtsgesetzes vom 17. Juni 2005 [BGG, SR 173.110]). Dispositiv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