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C-6166/2008 vom 18. November 2010</w:t>
      </w:r>
    </w:p>
    <w:p>
      <w:r>
        <w:t>Bundesverwaltungsgericht, 2010-11-18, IT</w:t>
      </w:r>
    </w:p>
    <w:p>
      <w:r>
        <w:rPr>
          <w:b/>
        </w:rPr>
        <w:t xml:space="preserve">Quelle: </w:t>
      </w:r>
      <w:r>
        <w:t>https://mcp.opencaselaw.ch/entscheid/bvger_C-6166_2008</w:t>
      </w:r>
    </w:p>
    <w:p>
      <w:r>
        <w:t>FR: TAF C-6166/2008 du 18 novembre 2010</w:t>
      </w:r>
    </w:p>
    <w:p>
      <w:r>
        <w:t>IT: TAF C-6166/2008 del 18 novembre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per l'esame del diritto eventuale a una rendita, l'applicazione delle nuove norme della 5a revisione della LAI per il periodo dal 1° gennaio al 19 agosto 2008 (data della decisione impugnata) non avrebbe alcuna incidenza sull'esito delle questioni sottoposte nel caso concreto all'esame di questo Tribunale (cfr. sentenza del Tribunale federale 9C_942/2009 del 15 marzo 2010 consid. 3.1; cfr. pure sentenza del Tribunale amministrativo federale C-1284/2008 del 30 marzo 2010 consid. 3.2). Pertanto, e salvo indicazione contraria, di seguito è fatto riferimento alle norme in vigore fino al 31 dicembre 2007.</w:t>
      </w:r>
    </w:p>
    <w:p>
      <w:r>
        <w:rPr>
          <w:b/>
        </w:rPr>
        <w:t>E. 3.3</w:t>
      </w:r>
    </w:p>
    <w:p>
      <w:r>
        <w:t>Il ricorrente, come già menzionato, ha presentato la richiesta di rendita il 28 maggio 2004.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28 maggio 2003 (ossia 12 mesi precedenti la presentazione della domanda), oppure se un diritto alla rendita sia sorto tra tale data e il 19 agosto 2008,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Nel gravame il ricorrente rimprovera all'autorità inferiore di non avere sufficientemente motivato la decisione impugnata. La censura appare fondata ove solo si rilevi che dagli atti di causa risulta che l'UAIE non ha trasmesso al ricorrente né la perizia pluridisciplinare del 2 maggio 2008 del CEMed (doc. 124) né le prese di posizione del 4 giugno e 6 agosto 2008 del servizio medico dell'UAIE (doc. 144 e 151), benché avrebbe di principio dovuto provvedervi d'ufficio nel caso di specie. Le considerazioni essenziali di detti documenti non sono peraltro state riportate che in maniera molto sommaria nel progetto di decisione del 6 giugno 2008 e nella decisione del 19 agosto 2008. Al riguardo può essere osservato che non è seriamente ipotizzabile di potere ricorrere con criteri adeguati senza avere almeno conoscenza del contenuto essenziale dei menzionati documenti. A ciò si aggiunga che l'UAIE, rinunciando nel caso di specie a presentare una risposta al ricorso, non ha ovviato neppure in procedura ricorsuale alla lacuna informativa del ricorrente concernente i documenti di cui trattasi. Sennonché, il ricorrente, rappresentato da mandatario professionale, ha chiesto e ottenuto da questo Tribunale in sede ricorsuale di avere accesso all'incarto di causa dell'autorità inferiore (doc. TAF 6 e 7). Peraltro, al ricorrente è stata conferita facoltà - sempre in sede di ricorso e dinanzi ad un'autorità, il Tribunale amministrativo federale, che gode di piena cognizione - di pronunciarsi dopo avere preso visione degli atti di causa, segnatamente della perizia pluridisciplinare del maggio 2008 e dei rapporti del servizio medico dell'UAIE di giugno e agosto 2008. Con atto inoltrato il 30 gennaio 2010, quest'ultimo ha fatto uso di tale facoltà (doc. TAF 9), con la conseguenza che la violazione del diritto di essere sentito del ricorrente deve considerarsi siccome sanata in questa sede. In siffatte circostanze, un annullamento della decisione impugnata costituirebbe in ogni caso una vana formalità, ritenuto altresì che la procedura in materia d'assicurazione per l'invalidità è pure retta dai principi della celerità (DTF 126 V 244) e della semplicità (cfr. sentenza del Tribunale federale 9C_162/2007 del 3 aprile 2008 consid. 2.3 e relativi riferimenti).</w:t>
      </w:r>
    </w:p>
    <w:p>
      <w:r>
        <w:rPr>
          <w:b/>
        </w:rPr>
        <w:t>E. 5</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per più di 15 anni (doc. 1) e, pertanto, adempie la condizione della durata minima di contribuzione. Rimane ora da esaminare se sia invalido ai sensi di legge.</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6.3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6.4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7.1.1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7.1.2</w:t>
      </w:r>
    </w:p>
    <w:p>
      <w:r>
        <w:t>Nel caso di assicurati attivi, il grado di invalidità deve essere di principio determinato sulla base di un raffronto dei redditi. Tuttavia, se non è possibile determinare o graduare con sicurezza i due redditi di cui si tratta, si deve procedere, ispirandosi al metodo specifico applicabile alla persone non esercitanti attività lucrativa (art. 27 OAI), al confronto delle attività e valutare il grado d'invalidità ritenendo l'incidenza della diminuità capacità di rendimento sulla situazione economica concreta (metodo straordinario di graduazione). Questo metodo particolare si applica soprattutto nel caso di lavoratori indipendenti, ove un calcolo sufficientemente sicuro dei redditi da paragonare sia escluso. In siffatte circostanze, l'invalidità viene calcolata secondo le ripercussioni economiche che la riduzione del rendimento esplica sull'attività concreta della persona assicurata. Inoltre, la documentazione medica costituisce un importante elemento di giudizio per determinare quali lavori siano ancora esigibili (cfr. sentenza del Tribunale federale I 781/02 del 31 marzo 2004 consid. 3.4/3.5 e relativi riferimenti). Infine, conformemente ad un principio generale applicabile anche nel diritto delle assicurazioni sociali, all'assicurato incombe l'obbligo di ridurre il danno (DTF 123 V 230 consid. 3c e sentenza del Tribunale federale 8C_103/2008 del 7 gennaio 2009 consid. 5).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e sentenza del Tribunale federale 9C_227/2008 del 22 marzo 2009). Non è quindi dato alcun diritto ad una rendita se la persona interessata dovesse essere in grado di percepire un reddito tale da escluderne l'erogazione (DTF 113 V 22 consid. 4a). Dalla persona assicurata possono tuttavia essere pretesi unicamente provvedimenti esigibili che tengano conto delle circostanze oggettive e soggettive del caso concreto, quali la sua capacità lavorativa residua, le sue ulteriori circostanze personali, l'età, la situazione professionale, i legami presso il luogo di domicilio, il mercato del lavoro equilibrato e la presumibile durata dell'attività lavorativa (DTF 113 V 22 consid. 4a; cfr. pure VSI 2001 pag. 279 consid. 5a/aa e 5a/bb). Ciò premesso, l'esigibilità di un cambiamento di professione va ammessa e anche il libero professionista può essere trattato, ai fini della valutazione del suo reddito da invalido, come se avesse rinunciato alla propria attività indipendente (sentenza del Tribunale federale I 224/01 del 22 ottobre 2001 consid. 3b/bb). In tal caso per stabilire l'invalidità vengono computate quelle entrate che egli potrebbe percepire tramite un'attività lavorativa dipendente adeguata al danno alla salute (sentenza del Tribunale federale I 543/03 del 27 agosto 2004 consid. 4.2 e 4.3).</w:t>
      </w:r>
    </w:p>
    <w:p>
      <w:r>
        <w:rPr>
          <w:b/>
        </w:rPr>
        <w:t>E. 7.2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7.3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8.1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8.2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8.3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9.2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9.3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10.1</w:t>
      </w:r>
    </w:p>
    <w:p>
      <w:r>
        <w:t>Dalla perizia pluridisciplinare del 2 maggio 2008 del CEMed risulta che il ricorrente soffre di lombalgie e cervicalgie croniche, tendi-nopatia bilaterale della cuffia dei rotatori, contusione al piatto tibiale e lesione al menisco del ginocchio destro a seguito di una caduta nel febbraio del 2008, asma bronchiale trattata e stabilizzata, sindrome delle apnee ostruttive ed ipoapnee del sonno di grado moderato non in trattamento e cardiopatia ipertensiva con coronarie sane (doc. 124).</w:t>
      </w:r>
    </w:p>
    <w:p>
      <w:r>
        <w:rPr>
          <w:b/>
        </w:rPr>
        <w:t>E. 10.2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durante un anno.</w:t>
      </w:r>
    </w:p>
    <w:p>
      <w:r>
        <w:rPr>
          <w:b/>
        </w:rPr>
        <w:t>E. 11.1</w:t>
      </w:r>
    </w:p>
    <w:p>
      <w:r>
        <w:t>Nella fattispecie in esame, occorre determinare se il ricorrente ha subito nel periodo determinante (cfr. consid. 3.3 del presente giudizio), e senza interruzione notevole, un'incapacità lavorativa media di almeno il 40% durante un anno giusta l'art. 29 cpv. 1 lett. b LAI.</w:t>
      </w:r>
    </w:p>
    <w:p>
      <w:r>
        <w:rPr>
          <w:b/>
        </w:rPr>
        <w:t>E. 11.2</w:t>
      </w:r>
    </w:p>
    <w:p>
      <w:r>
        <w:t>Dalle carte processuali emerge che, dopo il rimpatrio, il ricorrente ha ancora esercitato un'attività lucrativa. In particolare, ha lavorato quale meccanico d'auto in proprio, in ragione di 48 ore alla settimana, dal 1986 al 2003. In seguito, e nonostante le evocate affezioni, ha continuato a svolgere tale attività in ragione di 25 ore alla settimana, fino al gennaio del 2005, allorquando ha ulteriormente ridotto l'attività a 10 ore alla settimana. Nel questionario per l'assicurato del maggio 2008, il ricorrente ha confermato di continuare a svolgere l'attività di meccanico d'auto in proprio, seppure a tempo ridotto (doc. 119).</w:t>
      </w:r>
    </w:p>
    <w:p>
      <w:r>
        <w:rPr>
          <w:b/>
        </w:rPr>
        <w:t>E. 11.3.1</w:t>
      </w:r>
    </w:p>
    <w:p>
      <w:r>
        <w:t>Nella perizia pluridisciplinare del 2 maggio 2008 - fondata sul consenso dei medici partecipanti, ossia dei dott. G._______ (specialista in reumatologia), H._______ (specialista in cardiologia), I._______ (specialista in psichiatria-psicoterapia) e J.________ (specialista in pneumologia) - è stato in particolare rilevato che l'insorgente soffre di dolori cervicali, lombari ed alle spalle e presenta una discreta limitazione della mobilità cervicale, un'importante rigidità lombare come pure dei disturbi degenerativi a livello cervicale e lombare. Dai referti degli esami (elettrocardiogramma, test da sforzo ed ecocardiografia) emerge inoltre che il medesimo è affetto segnatamente da cardiopatia ipertensiva in trattamento con ipertrofia ventricolare sinistra moderata, ma con coronarie sane, funzione del ventricolo sinistro normale, assenza di aritmia ed assenza di ischemia del miocardio. Il ricorrente ha un aspetto normale, un atteggiamento collaborante e dimostrativo, espressione emotiva normale, gestualità armoniosa, pensiero, intelligenza e capacità critica normali e non mostra alcun disturbo neurovegetativo e neppure segni depressivi, ansiosi o psicotici. L'asma di cui soffre l'insorgente è lieve, e perfettamente curata, le funzioni polmonari sono normali, la sindrome delle apnee-ipoapnee è di grado moderato e la fatica diurna può trovare la sua spiegazione nel grave russamento notturno. I periti hanno quindi concluso che dal punto di vista cardiologico, psichiatrico e pneumologico può essere ritenuta per il ricorrente una capacità lavorativa completa nell'attività di meccanico d'auto. Per contro, dal punto di vista reumatologico si giustifica un'incapacità lavorativa del 20% nell'attività di meccanico d'auto a decorrere dal 2004 (lavoro a tempo pieno con limitazione del rendimento del 20%). Hanno infine segnalato che con una buona presa a carico attiva e regolare sul piano reumatologico si può sperare in un miglioramento della residua capacità lavorativa quale meccanico d'auto (doc. 124).</w:t>
      </w:r>
    </w:p>
    <w:p>
      <w:r>
        <w:rPr>
          <w:b/>
        </w:rPr>
        <w:t>E. 11.3.2</w:t>
      </w:r>
    </w:p>
    <w:p>
      <w:r>
        <w:t>Questo Tribunale osserva che la perizia pluridisciplinare del maggio 2008 si fonda su informazioni fornite dalla persona esaminata, sull'esame del quadro clinico, sulle risultanze della visita dell'insorgente nonché sulla documentazione medica agli atti e comporta segnatamente l'anamnesi, informazioni tratte dall'incarto, indicazioni del peritando, risultati d'esame, la diagnosi, la discussione nonché la risposta alle domande poste. Tale rapporto peritale può pertanto essere considerato, come rettamente ritenuto dal dott. D._______, medico dell'UAIE, un mezzo probatorio idoneo per la valutazione dello stato di salute del ricorrente e dell'esigibilità dell'esercizio della precedente attività di meccanico d'auto. Peraltro, le ivi ritenute diagnosi e incapacità lavorativa sono state sottoposte al dott. D._______, il quale nel suo rapporto del 4 giugno 2008 le ha confermate (doc. 144).</w:t>
      </w:r>
    </w:p>
    <w:p>
      <w:r>
        <w:rPr>
          <w:b/>
        </w:rPr>
        <w:t>E. 11.4</w:t>
      </w:r>
    </w:p>
    <w:p>
      <w:r>
        <w:t>L'insorgente ha certo affermato, in sede di ricorso e di osservazioni, che le affezioni di cui soffre non gli consentono di esercitare una qualsiasi attività lucrativa e giustificano un'invalidità del 100%. Tuttavia, non ha prodotto nuova documentazione medica-specialistica posteriore alla perizia pluridisciplinare del 2 maggio 2008 suscettibile di dimostrare un'incapacità lavorativa nella sua precedente attività - di meccanico d'auto in proprio - superiore a quella del 20% ritenuta dall'UAIE. Giova inoltre rammentare che la relazione di consulenza tecnica del dott. F._______ del 2 ottobre 2007 non convince, la stessa essendo generica, frutto segnatamente di una legislazione che regge le procedure nel Paese d'origine del ricorrente ma non quelle in Svizzera, e basata sull'opinione di un unico medico non specializzato nei singoli ambiti relativi alle affezioni di cui soffre il ricorrente, come invece è il caso dei periti responsabili della perizia del CEMed del 2 maggio 2008.</w:t>
      </w:r>
    </w:p>
    <w:p>
      <w:r>
        <w:rPr>
          <w:b/>
        </w:rPr>
        <w:t>E. 11.5</w:t>
      </w:r>
    </w:p>
    <w:p>
      <w:r>
        <w:t>Il ricorrente censura altresì il fatto che sia la perizia pluridisciplinare di cui trattasi sia la decisione impugnata fanno astrazione della natura vincolante del considerando 8.2 della sentenza di cassazione del Tribunale amministrativo federale dell'8 luglio 2007.</w:t>
      </w:r>
    </w:p>
    <w:p>
      <w:r>
        <w:rPr>
          <w:b/>
        </w:rPr>
        <w:t>E. 11.5.1</w:t>
      </w:r>
    </w:p>
    <w:p>
      <w:r>
        <w:t>Questo Tribunale rileva che secondo una costante giurisprudenza, allorquando l'autorità di ricorso pronuncia, come nella fattispecie il Tribunale amministrativo federale l'8 luglio 2007, una decisione di cassazione con rinvio degli atti di causa per completamento dell'istruzione e nuova decisione, l'autorità a cui è stata rinviata la causa, come pure quella che ha reso la decisione di cassazione, deve conformarsi alle istruzioni della sentenza di rinvio. L'autorità inferiore deve, dunque, fondare la sua nuova decisione sui considerandi di diritto contenuti nel giudizio di rinvio. Tale principio, sancito in materia civile nell'abrogato art. 66 cpv. 1 OG, è applicabile anche in assenza di una specifica disposizione e vale, conseguentemente, nelle procedure amministrative in generale (sentenza del Tribunale federale 9C_522/2007 del 17 giugno 2008 consid. 3.1; DTF 117 V 237 consid. 2a). La latitudine di giudizio dell'autorità inferiore è dunque limitata dai motivi della decisione di rinvio, nel senso che tale autorità è vincolata da ciò che è stato già definitivamente deciso dall'autorità di ricorso (DTF 131 III 91 consid. 5.2 e 120 V 233 consid. 1a), come lo è pure l'autorità di ricorso nell'esame del susseguente gravame (sentenza del Tribunale federale 9C_522/2007 del 17 giugno 2008 consid. 3.1).</w:t>
      </w:r>
    </w:p>
    <w:p>
      <w:r>
        <w:rPr>
          <w:b/>
        </w:rPr>
        <w:t>E. 11.5.2</w:t>
      </w:r>
    </w:p>
    <w:p>
      <w:r>
        <w:t>Con sentenza dell'8 luglio 2007, il Tribunale amministrativo federale ha ordinato all'autorità inferiore di completare l'accertamento dei fatti determinanti relativamente alla situazione medica dell'insorgente (con perizia ortopedica/neurologica, cardiologica, pneumologica) nonché in merito all'attività professionale che il medesimo avrebbe potuto espletare (dal punto di vista medico) a partire dall'agosto del 2003 (cfr. sentenza del Tribunale amministrativo federale C-2668/2008 consid. 9.2). Nel dispositivo della sentenza di questo Tribunale dell'8 luglio 2007 è altresì fatto riferimento unicamente ai motivi di cui al considerando 9.2 della sentenza stessa, di modo che solo essi, in assenza d'impugnazione, assumono carattere vincolante (DTF 120 V 233 consid. 1a). Pertanto, e a prescindere dalla pertinenza o meno della valutazione clinico-lavorativa espressa da questo Tribunale nella medesima sentenza al considerando 8.2, appare chiaro che alle considerazioni contenute in quest'ultimo considerando non può che essere attibuito un valore interlocutorio (di generica riflessione giustificante fra l'altro la sentenza di cassazione), ma non un carattere vincolante nel senso auspicato dal ricorrente, come si trattase di un punto definitivamente deciso. Basti per convincersene fare riferimento appunto al contenuto del considerando 9.2 della stessa sentenza di rinvio.</w:t>
      </w:r>
    </w:p>
    <w:p>
      <w:r>
        <w:rPr>
          <w:b/>
        </w:rPr>
        <w:t>E. 11.5.3</w:t>
      </w:r>
    </w:p>
    <w:p>
      <w:r>
        <w:t>Da quanto esposto, consegue che la censura in esame non merita tutela. In effetti, sulla scorta delle risultanze della perizia pluridisciplinare del maggio del 2008, delle valutazioni del dott. D._______ nonché delle considerazioni che precedono, questo Tribunale non ravvisa alcun serio motivo per scostarsi dall'apprezzamento dell'autorità inferiore secondo cui il ricorrente presenta una residua capacità lavorativa dell'80% nella sua precedente attività di meccanico d'auto in proprio a decorrere dal 2004. In altri termini, il ricorrente non ha subito nel periodo determinante un'incapacità lavorativa media di almeno il 40% durante un anno giusta l'art. 29 cpv. 1 lett. b LAI.</w:t>
      </w:r>
    </w:p>
    <w:p>
      <w:r>
        <w:rPr>
          <w:b/>
        </w:rPr>
        <w:t>E. 12</w:t>
      </w:r>
    </w:p>
    <w:p>
      <w:r>
        <w:t>In siffatte circostanze, non soccorre il ricorrente la generica doglianza concernente la mancata applicazione da parte dell'autorità inferiore al suo caso del metodo straordinario per la determinazione del grado d'invalidità. Da un lato, non ha indicato per quale ragione nel caso di specie non si sarebbe, in sostanza, potuto determinare il suo grado d'invalidità secondo il metodo del cosiddetto "Prozentvergleich" (cfr. sulla questione la sentenza del Tribunale federale I 121/03 del 30 ottobre 2003 consid. 2.4 e relativi riferimenti). Dall'altro lato, né nell'ambito della procedura di prima istanza né in sede di ricorso l'insorgente ha mai indicato con la necessaria precisione, tanto meno dimostrato con idonea documentazione, una limitazione superiore al 20% in una specifica attività della sua precedente professione (in percentuale rispetto al totale), tale altresì da comportare una ripercussione economica complessiva uguale o superiore al 40%, in tale contesto non essendo decisivo la sua decisione di ridurre nel tempo il suo orario lavorativo. Occorre altresì rilevare che, per giurisprudenza, allorquando, come nel caso di specie, l'insorgente presenta ancora una residua capacità lavorativa dell'80% nella sua precedente attività di meccanico d'auto in proprio, l'applicazione del metodo straordinario per la determinazione del grado d'invalidità non presuppone né la presa in considerazione dell'età del ricorrente o del mercato equilibrato del lavoro, né un raffronto dei redditi ipotetici o il riferimento a dei redditi comparativi nella medesima professione, né l'esame della fase iniziale dell'attività indipendente in questione, ma il tasso d'incapacità lavorativa corrisponde allora al grado d'invalidità (cfr. sentenza del Tribunale federale 9C_947/2008 del 29 maggio 2009).</w:t>
      </w:r>
    </w:p>
    <w:p>
      <w:r>
        <w:rPr>
          <w:b/>
        </w:rPr>
        <w:t>E. 13</w:t>
      </w:r>
    </w:p>
    <w:p>
      <w:r>
        <w:t>Da quanto esposto, consegue che il ricorso, destituito di fondamento, non merita tutela e la decisione impugnata va confermata.</w:t>
      </w:r>
    </w:p>
    <w:p>
      <w:r>
        <w:rPr>
          <w:b/>
        </w:rPr>
        <w:t>E. 14.1</w:t>
      </w:r>
    </w:p>
    <w:p>
      <w:r>
        <w:t>Visto l'esito della procedura, le spese processuali, di fr. 300.--, sono poste a carico del ricorrente (art. 63 cpv. 1 PA e art. 3 lett. b del regolamento sulle tasse e sulle spese ripetibili nelle cause dinanzi al Tribunale amministrativo federale [TS-TAF, RS 173.320.2]).</w:t>
      </w:r>
    </w:p>
    <w:p>
      <w:r>
        <w:rPr>
          <w:b/>
        </w:rPr>
        <w:t>E. 14.2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