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C-6165/2014 vom 23. November 2015</w:t>
      </w:r>
    </w:p>
    <w:p>
      <w:r>
        <w:t>Bundesverwaltungsgericht, 2015-11-23, FR</w:t>
      </w:r>
    </w:p>
    <w:p>
      <w:r>
        <w:rPr>
          <w:b/>
        </w:rPr>
        <w:t xml:space="preserve">Quelle: </w:t>
      </w:r>
      <w:r>
        <w:t>https://mcp.opencaselaw.ch/entscheid/bvger_C-6165_2014</w:t>
      </w:r>
    </w:p>
    <w:p>
      <w:r>
        <w:t>FR: TAF C-6165/2014 du 23 novembre 2015</w:t>
      </w:r>
    </w:p>
    <w:p>
      <w:r>
        <w:t>IT: TAF C-6165/2014 del 23 novembre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au recourant en application de l'art. 85 de l'ordonnance du 24 octobre 2007 relative à l'admission, au séjour et à l'exercice d'une activité lucrative (OASA, RS 142.201), autant dans son ancienne teneur que dans celle en vigueur depuis le 1er septembre 2015 (cf. à ce sujet : ATF 141 II 169 consid. 4). 4.L'étranger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et al., Migrationsrecht, Zurich 2012, ad art. 42 ch. 9).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5.1</w:t>
      </w:r>
    </w:p>
    <w:p>
      <w:r>
        <w:t>Selon l'art. 50 al. 1 let. a LEtr, après dissolution de la famille, le droit du conjoint à l'octroi d'une autorisation de séjour et à la prolongation de sa durée de validité en vertu des art. 42 et 43 LEtr subsiste lorsque - l'union conjugale a duré au moins trois ans et l'intégration est réussie (lettre a); - la poursuite du séjour en Suisse s'impose pour des raisons personnelles majeures (lettre b).</w:t>
      </w:r>
    </w:p>
    <w:p>
      <w:r>
        <w:rPr>
          <w:b/>
        </w:rPr>
        <w:t>E. 5.2</w:t>
      </w:r>
    </w:p>
    <w:p>
      <w:r>
        <w:t>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w:t>
      </w:r>
    </w:p>
    <w:p>
      <w:r>
        <w:rPr>
          <w:b/>
        </w:rPr>
        <w:t>E. 5.3</w:t>
      </w:r>
    </w:p>
    <w:p>
      <w:r>
        <w:t>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5.4</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ou semaines seulement avant l'expiration du délai (cf., notamment, arrêt du Tribunal fédéral 2C_748/2011 du 11 juin 2012 consid. 2.1). Enfin, le délai de trois ans de l'art. 50 al. 1 let. a LEtr se calcule en fonction de la durée de la communauté conjugale vécue en Suisse (ATF 136 II 113 précité consid. 3.3.5).</w:t>
      </w:r>
    </w:p>
    <w:p>
      <w:r>
        <w:rPr>
          <w:b/>
        </w:rPr>
        <w:t>E. 6.1</w:t>
      </w:r>
    </w:p>
    <w:p>
      <w:r>
        <w:t>Dans sa décision du 19 septembre 2014, l'ODM a refusé de donner son approbation à la prolongation de l'autorisation de séjour de A._______ au motif que celui-ci ne faisait plus ménage commun avec son épouse, C._______, et qu'il n'entretenait pas de relations familiales étroites avec sa fille D._______. L'ODM a ainsi considéré, contrairement aux autorités cantonales, que A._______ ne pouvait plus se prévaloir d'un droit à la poursuite de son séjour en Suisse en application de l'art. 42 LEtr pour en conclure que sa situation devait être examinée sous l'angle de l'art. 50 LEtr, disposition régissant la poursuite du séjour en Suisse après la dissolution de la famille.</w:t>
      </w:r>
    </w:p>
    <w:p>
      <w:r>
        <w:rPr>
          <w:b/>
        </w:rPr>
        <w:t>E. 6.2</w:t>
      </w:r>
    </w:p>
    <w:p>
      <w:r>
        <w:t>L'ODM a d'abord fondé son appréciation sur le rapport de renseignements établi le 6 février 2013 par l'OCP, selon lequel A._______ vivait alors à son domicile ...à Genève avec une femme blonde qui n'était pas son épouse, ainsi qu'avec un enfant en bas-âge, alors que son épouse et sa fille D._______ n'y habitaient plus. L'ODM a constaté par ailleurs que le contrat de travail et les attestations de salaire de C._______ mentionnaient que celle-ci était domiciliée à F._______ (France) et qu'elle avait même un raccordement téléphonique dans cette commune.</w:t>
      </w:r>
    </w:p>
    <w:p>
      <w:r>
        <w:rPr>
          <w:b/>
        </w:rPr>
        <w:t>E. 6.3</w:t>
      </w:r>
    </w:p>
    <w:p>
      <w:r>
        <w:t>Dans son recours, A._______ a contesté l'application, par le SEM, de l'art 50 LEtr, en réaffirmant que son épouse et sa fille vivaient avec lui à Genève et que la scolarisation de leur fille en France ne remettait nullement en cause la réalité de leur communauté familiale. Le recourant a par ailleurs versé au dossier une nouvelle déclaration écrite établie le 6 octobre 2014 par son épouse, C._______, dans laquelle celle-ci réaffirmait qu'elle formait une véritable communauté conjugale avec son mari et contestait l'appréciation faite par le SEM de leur situation familiale.</w:t>
      </w:r>
    </w:p>
    <w:p>
      <w:r>
        <w:rPr>
          <w:b/>
        </w:rPr>
        <w:t>E. 6.4</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En d'autres termes, la réforme implique que la décision de première instance soit fondée sur un état de fait et un raisonnement juridique corrects de la part de l'autorité de première instance. Par contre, la réforme est inadmissible lorsque des questions pertinentes doivent être tranchées pour la première fois. A cet égard, il importe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notammentATAF 2011/54 consid. 5.1 et 2009/57 consid. 1.2, ainsi que l'arrêt du Tri­bunal de céans E-5688/2012 consid. 2.2). En outre,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voir également Pierre Moor / Etienne Poltier, Droit administratif, no 5.8.4.3, pp. 826 à 828; Philippe Weissenberger, in : Waldman / Weissenberger, Praxis­kommentar zum Bundesgesetz über das Verwaltungsverfahren, Zurich/Bâle/Genève 2009, ad art. 61 PA, pp. 1210 et 1211, ch. 16 et 17; Madeleine Camprubi, in : Auer / Müller / Schindler, loc. cit., no 11, p. 773).</w:t>
      </w:r>
    </w:p>
    <w:p>
      <w:r>
        <w:rPr>
          <w:b/>
        </w:rPr>
        <w:t>E. 6.5</w:t>
      </w:r>
    </w:p>
    <w:p>
      <w:r>
        <w:t>En considération de ce qui précède, il appartient donc au SEM de procéder à des mesures d'instruction complémentaires visant à établir, sur la base d'investigations aussi complètes que possible, la réalité de la vie conjugale des époux A._______-C._______. Il convient de relever ici que les conditions de séjour en Suisse de A._______ ne pourront être examinées sous l'angle de l'art. 50 LEtr que si les mesures d'instruction complémentaires qu'il appartient au SEM d'entreprendre démontrent que les époux A._______-C._______ ne forment pas ou plus une communauté conjugale étroite et effective. Dans l'hypothèse contraire où ces mesures d'instruction complémentaires venaient à confirmer l'existence d'une véritable communauté conjugale des époux A._______-C._______, les conditions de séjour en Suisse de A._______ devraient alors être examinées sous l'angle de l'art. 42 LEtr.</w:t>
      </w:r>
    </w:p>
    <w:p>
      <w:r>
        <w:rPr>
          <w:b/>
        </w:rPr>
        <w:t>E. 7.1</w:t>
      </w:r>
    </w:p>
    <w:p>
      <w:r>
        <w:t>Le recours est en conséquence admis, la décision querellée est annulée et la cause est renvoyée à l'autorité inférieure pour instruction com­plé­mentaire et nouvelle décision dans le sens des considérants (cf. consid. 6.2 à 6.4 supra).</w:t>
      </w:r>
    </w:p>
    <w:p>
      <w:r>
        <w:rPr>
          <w:b/>
        </w:rPr>
        <w:t>E. 7.2</w:t>
      </w:r>
    </w:p>
    <w:p>
      <w:r>
        <w:t>Obtenant gain de cause, le recourant n'a pas à supporter de frais de procédure (cf. art. 63 al. 1 phr. 1 a contrario PA), pas plus que l'autorité qui succombe (cf. art. 63 al. 2 PA).</w:t>
      </w:r>
    </w:p>
    <w:p>
      <w:r>
        <w:rPr>
          <w:b/>
        </w:rPr>
        <w:t>E. 7.3</w:t>
      </w:r>
    </w:p>
    <w:p>
      <w:r>
        <w:t>Conformément aux art. 64 al. 1 PA et 7 al. 1 FITAF, l'autorité de recours alloue, d'office ou sur requête, à la partie ayant gain de cause une indemnité pour les frais indispensables et relativement élevés qui lui ont été occasionnés dans le cadre de la procédure de recours, En l'espèce, le recourant a agi sans être représenté par un mandataire professionnel et il n'apparaît pas que celle-ci lui aurait occasionné de frais particuliers.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