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C-6160/2012 vom 9. Dezember 2013</w:t>
      </w:r>
    </w:p>
    <w:p>
      <w:r>
        <w:t>Bundesverwaltungsgericht, 2013-12-09, FR</w:t>
      </w:r>
    </w:p>
    <w:p>
      <w:r>
        <w:rPr>
          <w:b/>
        </w:rPr>
        <w:t xml:space="preserve">Quelle: </w:t>
      </w:r>
      <w:r>
        <w:t>https://mcp.opencaselaw.ch/entscheid/bvger_C-6160_2012</w:t>
      </w:r>
    </w:p>
    <w:p>
      <w:r>
        <w:t>FR: TAF C-6160/2012 du 9 décembre 2013</w:t>
      </w:r>
    </w:p>
    <w:p>
      <w:r>
        <w:t>IT: TAF C-6160/2012 del 9 dicembre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1.3</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 Les dispositions de la révision 6a (premier volet) de la LAI entrées en vigueur le 1er janvier 2012 sont également applicables. Toutefois, le droit à la rente s'étendant jusqu'au 31 décembre 2007 s'examine à la lumière des anciennes normes, ce qu'il motive qu'il y soit fait également référence.</w:t>
      </w:r>
    </w:p>
    <w:p>
      <w:r>
        <w:rPr>
          <w:b/>
        </w:rPr>
        <w:t>E. 3</w:t>
      </w:r>
    </w:p>
    <w:p>
      <w:r>
        <w:t>L'intéressée a déposé sa demande de rente le 15 mai 2006.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la recourante avait droit à une rente le 15 mai 2005 ou si le droit à une rente était né entre cette dernière date et le 12 octobre 2012, date de la décision attaquée marquant la limite dans le temps du pouvoir d'examen de l'autorité de recours (ATF 129 V 1 consid. 2.1 et ATF 121 V 362 consid. 1b).</w:t>
      </w:r>
    </w:p>
    <w:p>
      <w:r>
        <w:rPr>
          <w:b/>
        </w:rPr>
        <w:t>E. 4</w:t>
      </w:r>
    </w:p>
    <w:p>
      <w:r>
        <w:t>La recourante conteste la validité matérielle de la décision de l'OAIE du 12 octobre 2012, dans la mesure où elle prétend avoir droit à une rente d'invalidité également après le 31 octobre 2011.</w:t>
      </w:r>
    </w:p>
    <w:p>
      <w:r>
        <w:rPr>
          <w:b/>
        </w:rPr>
        <w:t>E. 5</w:t>
      </w:r>
    </w:p>
    <w:p>
      <w:r>
        <w:t>Tout requérant doit remplir cumulativement les conditions suivantes pour avoir droit à une rente de l'assurance-invalidité suisse, soit être invalide au sens de la LPGA/LAI et avoir compté au moins trois années de cotisations à l'AVS/AI (art. 36 LAI, une année dans sa teneur en vigueur jusqu'au 31 décembre 2007).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la recourante a travaillé depuis 1994 pour une entreprise en Suisse et a versé des cotisations à l'AVS/AI suisse pendant plus d'une année. Partant, elle remplit la condition relative à la durée de cotisations. Il reste dès lors à examiner si elle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 au moins et à une rente entière s'il est invalide à 70 % au moins (art. 28 al. 1 LAI en vigueur jusqu'au 31 décembre 2007 et art. 28 al. 2 LAI dès le 1er janvier 2008).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w:t>
      </w:r>
    </w:p>
    <w:p>
      <w:r>
        <w:rPr>
          <w:b/>
        </w:rPr>
        <w:t>E. 6.3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6.5</w:t>
      </w:r>
    </w:p>
    <w:p>
      <w:r>
        <w:t>En cas de décision simultanée sur l'octroi d'une rente et son remplacement par une autre rente ou même sa suppression, le changement est régi par l'art. 88a du règlement du 17 janvier 1961 sur l'assurance-invalidité (RAI, RS 831.301)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6.6</w:t>
      </w:r>
    </w:p>
    <w:p>
      <w:r>
        <w:t>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2.2 et 2.3 confirmé dans 131 V 164).</w:t>
      </w:r>
    </w:p>
    <w:p>
      <w:r>
        <w:rPr>
          <w:b/>
        </w:rPr>
        <w:t>E. 6.7</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w:t>
      </w:r>
    </w:p>
    <w:p>
      <w:r>
        <w:t>L'assurée a travaillé à 100 % jusqu'à la naissance de son premier enfant et à 80 % avec deux enfants en bas âge. Suite à sa maladie, elle a réduit son activité de moitié, soit conservé une activité lucrative avec un taux d'occupation de 40 %. Compte tenu de l'âge de ses enfants nés en 1996 et 2000 et de la situation professionnelle de son mari qui a été au chômage dès mars 2011, elle a indiqué qu'elle aurait travaillé de nouveau à temps complet dès mars 2011 si elle avait été en bonne santé (OAIE pce 116). L'OAI-GE a donc retenu à juste titre que l'assurée devait être considérée comme 100 % active depuis mars 2011 (OAIE pce 126).</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que la recourante est atteinte d'un cancer du sein, avait pu arrêter tout traitement chimiothérapique depuis mai 2010 selon le Dr F._______ (OAIE pce 98), mais souffrait d'un état de fatigue chronique qui, selon le Dr H._______, n'avait pas fait l'objet d'explorations (OAIE pce 100) et était probablement dû à la prise régulière de J._______ pour éviter une récidive du cancer du sein (TAF pce 4). Dans son expertise du 20 août 2010 (OAIE pce 92), le Dr D._______ a estimé que la capacité de travail résiduelle de 50% pourrait être augmentée de manière progressive de 10 % à 20 % voire plus si l'assurée bénéficiait d'une prise en charge physiothérapeutique bien conduite ainsi que de l'utilisation de bas de contention et pas seulement de drainages lymphatiques de manière sporadique. Le Dr H._______, médecin traitant de l'assurée, a attesté dans plusieurs certificats (OAIE pces 103, 110, 122 et 134) une capacité de travail de 50 % entre janvier 2006 et décembre 2012. Il avait été prévu après la première procédure devant le Tribunal administratif fédéral que l'OAIE complète le dossier médical concernant une éventuelle séquelle invalidante consécutive à la tumorectomie et au traitement de chimiothérapie. Finalement, seule une expertise auprès du Dr D._______, spécialiste FMH en rhumatologie, médecine interne et médecine manuelle, a eu lieu le 19 août 2010. Malgré l'avis de son service médical du 17 août 2009, qui considérait qu'une expertise oncologique s'imposait (OAIE pce 65), l'avis du Prof. C._______ qui estimait que l'estimation d'un endocrinologue était nécessaire (OAIE pce 68) et la prise de position du Dr E._______ du 16 décembre 2010 qui recommandait un avis oncologique pour déterminer la capacité de travail exigible au-delà de l'appréciation des limitations fonctionnelles d'ordre purement mécanique, l'OAIE n'a pas ordonné d'autre expertise que celle du Dr D._______.</w:t>
      </w:r>
    </w:p>
    <w:p>
      <w:r>
        <w:rPr>
          <w:b/>
        </w:rPr>
        <w:t>E. 9.2</w:t>
      </w:r>
    </w:p>
    <w:p>
      <w:r>
        <w:t>Le Tribunal de céans constate dès lors que le médecin traitant a toujours attesté dans ses certificats (OAIE pces 103, 110, 122 et 134) une capacité de travail de 50 % entre janvier 2006 et décembre 2012 et que cette appréciation correspond à celle du Dr D._______ sans prise en charge physiothérapeutique bien conduite et utilisation de bas de contention. L'OAIE n'ayant ni demandé d'examens supplémentaires du syndrome de fatigue récurrente, qui paraît vraisemblable, vu la prise régulière du médicament J._______, ni rendu l'assurée attentive au fait qu'elle devait se soumettre à une prise en charge physiothérapeutique adéquate, le Tribunal considère que la capacité résiduelle de travail est restée à 50 % entre novembre 2011 et octobre 2012 (date de la décision attaquée).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10.3</w:t>
      </w:r>
    </w:p>
    <w:p>
      <w:r>
        <w:t>Quant aux assurés qui n'exerçaient pas d'activité lucrative, l'invalidité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vigueur jusqu'au 31 décembre 2007 respectivement art. 28a al. 2 LAI en vigueur depuis cette date, art. 27 du règlement du 17 janvier 1961 sur l'assurance-invalidité [RAI, RS 831.201] et art. 8 al. 3 LPGA).</w:t>
      </w:r>
    </w:p>
    <w:p>
      <w:r>
        <w:rPr>
          <w:b/>
        </w:rPr>
        <w:t>E. 10.4</w:t>
      </w:r>
    </w:p>
    <w:p>
      <w:r>
        <w:t>Si la personne assurée exerçait une activité professionnelle à temps partiel, il convient de pondérer les deux méthodes en fonction du temps alors attribué à l'activité lucrative et aux activités domestiques. C'est la méthode mixte d'évaluation de l'invalidité (art. 28 al. 2ter LAI et 27bis RAI, selon la version en vigueur jusqu'au 31 décembre 2007; art. 28a al. 3 LAI à compter du 1er janvier 2008).</w:t>
      </w:r>
    </w:p>
    <w:p>
      <w:r>
        <w:rPr>
          <w:b/>
        </w:rPr>
        <w:t>E. 10.5</w:t>
      </w:r>
    </w:p>
    <w:p>
      <w:r>
        <w:t>En l'espèce, l'assurée présente une capacité de travail de 50 % dans l'activité exercée préalablement et jusqu'à la date de la décision attaquée. Elle a donc subi une perte de gain de 40%, alors qu'elle était considérée active à 80%, c'est-à-dire jusqu'en février 2011 et de 50 % depuis lors. En application de la méthode mixte jusqu'en février 2011, le taux d'invalidité total était de 43 % (40 % dans l'activité lucrative et 3 % dans le ménage). A partir de mars 2011, seule la perte de gain dans l'activité professionnelle était déterminante, le taux d'invalidité total était donc de 50 %. Par conséquent, l'assurée a donc droit à un quart de rente du 1er janvier 2006 au 28 février 2011 et à une demi-rente dès le 1er mars 2011 (Prozentvergleich: cf. arrêt du Tribunal fédéral 9C_100/2010 du 23 mars 2010 consid. 2.1 et références citées).</w:t>
      </w:r>
    </w:p>
    <w:p>
      <w:r>
        <w:rPr>
          <w:b/>
        </w:rPr>
        <w:t>E. 10.6</w:t>
      </w:r>
    </w:p>
    <w:p>
      <w:r>
        <w:t>Au vu de ce qui précède, il appert que la décision du 12 octobre 2012 doit être réformée dans le sens que la recourante continue à avoir droit à une demi-rente d'invalidité après le 31 octobre 2011.</w:t>
      </w:r>
    </w:p>
    <w:p>
      <w:r>
        <w:rPr>
          <w:b/>
        </w:rPr>
        <w:t>E. 11</w:t>
      </w:r>
    </w:p>
    <w:p>
      <w:r>
        <w:t>Vu la nouvelle documentation médicale produite le 8 mai 2013 qui atteste d'une aggravation manifeste de l'état de santé de la recourante, le dossier est renvoyé à l'OAIE pour qu'il considère ces documents comme demande de révision immédiate de la rente.</w:t>
      </w:r>
    </w:p>
    <w:p>
      <w:r>
        <w:rPr>
          <w:b/>
        </w:rPr>
        <w:t>E. 12.1</w:t>
      </w:r>
    </w:p>
    <w:p>
      <w:r>
        <w:t>Eu égard à l'issue du litige, il ne doit pas être perçu de frais de procédure (art. 63 al. 1 et 2 PA, applicable par renvoi de l'art. 37 LTAF). L'avance de frais de 400 francs versée par la recourante lui sera intégralement restituée.</w:t>
      </w:r>
    </w:p>
    <w:p>
      <w:r>
        <w:rPr>
          <w:b/>
        </w:rPr>
        <w:t>E. 12.2</w:t>
      </w:r>
    </w:p>
    <w:p>
      <w:r>
        <w:t>Les art. 64 PA et 7 du règlement du 21 février 2008 concernant les frais, dépens et indemnités fixés par le Tribunal administratif fédéral (FITAF; RS 173.320.2), permettent au Tribunal de céans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Il se justifie, en l'espèce, d'allouer à la partie recourante une indemnité à titre de dépens de Fr. 2'500.-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