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C-6150/2011 vom 24. Mai 2012</w:t>
      </w:r>
    </w:p>
    <w:p>
      <w:r>
        <w:t>Bundesverwaltungsgericht, 2012-05-24, DE</w:t>
      </w:r>
    </w:p>
    <w:p>
      <w:r>
        <w:rPr>
          <w:b/>
        </w:rPr>
        <w:t xml:space="preserve">Quelle: </w:t>
      </w:r>
      <w:r>
        <w:t>https://mcp.opencaselaw.ch/entscheid/bvger_C-6150_2011</w:t>
      </w:r>
    </w:p>
    <w:p>
      <w:r>
        <w:t>FR: TAF C-6150/2011 du 24 mai 2012</w:t>
      </w:r>
    </w:p>
    <w:p>
      <w:r>
        <w:t>IT: TAF C-6150/2011 del 24 maggio 2012</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1.3</w:t>
      </w:r>
    </w:p>
    <w:p>
      <w:r>
        <w:t>Anfechtungsgegenstand des vorliegenden Verfahrens ist der Verwaltungsakt der Vorinstanz vom 3. Oktober 2011, welcher eine Verfügung im Sinne von Art. 5 VwVG darstellt.</w:t>
      </w:r>
    </w:p>
    <w:p>
      <w:r>
        <w:rPr>
          <w:b/>
        </w:rPr>
        <w:t>E. 2.1</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lit. a, b, und c VwVG). Diese Voraussetzungen müssen kumulativ erfüllt sein (Isabelle Häner in: Auer/Müller/Schindler, Kommentar zum VwVG, Zürich/St. Gallen 2008, Rz 3 zu Art. 48). Diese Kriterien sollen die Popularbeschwerde ausschliessen und den Charakter des allgemeinen Beschwerderechts als Instrument des Individualrechtsschutzes unterstreichen. Die Beschwerdeführerin muss einen praktischen Nutzen aus einer allfälligen Aufhebung oder Änderung des angefochtenen Entscheids ziehen, das heisst ihre Situation muss durch den Ausgang des Verfahrens in relevanter Weise beeinflusst werden können (BGE 133 II 249 E. 1.3.1 mit Hinweisen). Es genügt, dass die Beschwerdeführerin durch den angefochtenen Entscheid "stärker als jedermann" betroffen ist und "in einer besonderen, beachtenswerten nahen Beziehung zur Streitsache" steht; die Voraussetzungen zur Beziehungsnähe und des schutzwürdigen Interesses hängen eng zusammen (vgl. Urteil des BGer 2C_658/2008 vom 18. März 2009 mit Hinweisen).</w:t>
      </w:r>
    </w:p>
    <w:p>
      <w:r>
        <w:rPr>
          <w:b/>
        </w:rPr>
        <w:t>E. 2.2</w:t>
      </w:r>
    </w:p>
    <w:p>
      <w:r>
        <w:t>Die Beschwerdeführerin war im vorliegenden Fall zwar am Verfahren vor der Vorinstanz nicht beteiligt, hatte aber auch keine Möglichkeit dazu. Das Fusionsgesetz sieht nicht vor, dass die Aufsichtsbehörde bei der Genehmigung einer Fusion sämtliche Destinatäre in das Verfahren mit einbezieht. Die Beschwerdeführerin ist denn auch nicht von der Vorinstanz zur Teilnahme eingeladen worden. Aus den Akten geht auch nicht hervor, dass sie von einer involvierten Partei oder von der Vorinstanz darauf aufmerksam gemacht worden wäre, dass ein Fusionsgenehmigungsverfahren stattfindet, an dem sie sich allenfalls beteiligen könnte. Demnach trifft sie auch kein Verschulden an der Nichtteilnahme (vgl. Bernhard Waldmann, in: Basler Kommentar, Bundesgerichtsgesetz, Basel 2008 ad Art. 89 BGG, N. 9). Die Beschwerdevoraussetzung von Art. 48 Abs. 1 lit. a VwVG ist somit erfüllt.</w:t>
      </w:r>
    </w:p>
    <w:p>
      <w:r>
        <w:rPr>
          <w:b/>
        </w:rPr>
        <w:t>E. 2.3</w:t>
      </w:r>
    </w:p>
    <w:p>
      <w:r>
        <w:t>Es bleibt zu prüfen, ob die Beschwerdeführerin durch die angefochtene Verfügung besonders berührt ist und ein schutzwürdiges Interesse an deren Aufhebung oder Änderung hat (Art. 48 Abs. 1 lit. b und c) und damit auch die übrigen Beschwerdevoraussetzungen erfüllt sind. Da sie nebst Ungereimtheiten hauptsächlich geltend macht, dass ihre Rente aufgrund der Fusion gesunken sei, obwohl vorgängig von den beiden Vorsorgeeinrichtungen versichert worden sei, dass die Höhe der Renten unangetastet bleibe, ist konkret zu prüfen, inwieweit die Fusion Auswirkungen auf die Höhe ihrer Rente haben kann und damit ein schutzwürdiges Interesse an der Anfechtung der vorinstanzlichen Verfügung, welche die Fusion bestätigt, besteht.</w:t>
      </w:r>
    </w:p>
    <w:p>
      <w:r>
        <w:rPr>
          <w:b/>
        </w:rPr>
        <w:t>E. 2.3.1</w:t>
      </w:r>
    </w:p>
    <w:p>
      <w:r>
        <w:t>Im Fusionsvertrag (act. 1, S. 4) wird u. a geregelt, dass für die bisherigen Rentenbezüger der VE B.______ - also auch für die Beschwerdeführerin - das jeweilige bei Rentenbeginn gültige Vorsorgereglement der VE B._______ weiterhin anwendbar bleibt. Bei Invalidenrenten bleibe die Höhe der temporären Invalidenrente unverändert. Die für die spätere Ablösung der temporären Invalidenrenten durch Altersrenten geltenden Umwandlungssätze gemäss Anhang 6 des Vorsorgereglements der VE B.______ könnten jederzeit vom Stiftungsrat der VE C._______ überprüft und bei Bedarf an die aktuelle Situation angepasst werden. Die fusionsvertragliche Regelung, dass der Entscheid über eine allfällige reglementarische Änderung des Umwandlungssatzes der Altersrente künftig dem Stiftungsrat der übernehmenden Vorsorgeeinrichtung obliegt und somit ein anderes Gremium als das bisherige ab dem 1. Januar 2011 über den Umwandlungssatz der Altersrente entscheiden wird, kann Auswirkungen auf die Höhe der Altersrente der Beschwerdeführerin haben. Da der Stiftungsrat einer Vorsorgeeinrichtung in der Regel jährlich über den Umwandlungssatz im Überobligatorium entscheidet, sind Auswirkungen für die Beschwerdeführerin bezüglich der Höhe ihrer Altersrente grundsätzlich möglich; aktuell durch einen Beschluss rückwirkend per 1.Januar 2011, zukünftig durch eine Anpassung für die kommenden Jahre. Hier ist der Beschwerdeführerin zuzustimmen, wenn sie in ihrer Vernehmlassung zusammenfassend ausführt: "Es wird mir ein völlig anderer Rechtsträger vorgesetzt und gleichzeitig behauptet, ich sei nicht betroffen." (act. 13)</w:t>
      </w:r>
    </w:p>
    <w:p>
      <w:r>
        <w:rPr>
          <w:b/>
        </w:rPr>
        <w:t>E. 2.3.2</w:t>
      </w:r>
    </w:p>
    <w:p>
      <w:r>
        <w:t>Weiter wird im Fusionsvertrag festgehalten, dass der Arbeitgeber der VE B._______ zur Harmonisierung der Deckungsgrade der beiden Vorsorgeeinrichtungen eine Einmaleinlage von Fr. 5'819'708.- gewährt (act. 1 S. 3). Auch die Regelung des finanziellen Ausgleichs unter der abgebenden und der übernehmenden Vorsorgeeinrichtung kann Auswirkungen auf die künftige Rente der Beschwerdeführerin zeitigen. Wäre dies der Fall, würden sich auch die Aussicht auf künftige Teuerungszulagen verschlechtern.</w:t>
      </w:r>
    </w:p>
    <w:p>
      <w:r>
        <w:rPr>
          <w:b/>
        </w:rPr>
        <w:t>E. 2.4</w:t>
      </w:r>
    </w:p>
    <w:p>
      <w:r>
        <w:t>Die Beschwerdeführerin hat somit ein schutzwürdiges Interesse daran, dass der Fusionsvorgang von der Aufsichtsbehörde geprüft wird und das urteilende Gericht die Genehmigungsverfügung der Aufsichtsbehörde überprüft. Die Beschwerdeführerin ist somit mehr als die Allgemeinheit von der Verfügung betroffen und sie hat eine besondere, beachtenswerte Beziehung zur Streitsache. Sie hat somit ein schutzwürdiges Interesse und ist von der Verfügung besonders berührt. Da die Beschwerde im Übrigen form- und fristgerecht eingereicht wurde und auch der Kostenvorschuss fristgerecht bezahlt wurde, ist darauf einzutreten.</w:t>
      </w:r>
    </w:p>
    <w:p>
      <w:r>
        <w:rPr>
          <w:b/>
        </w:rPr>
        <w:t>E. 3</w:t>
      </w:r>
    </w:p>
    <w:p>
      <w:r>
        <w:t>Es ist nachfolgend materiell zu prüfen, ob die Vorinstanz die Fusion zurecht genehmigt hat bzw. ob sie bei der Genehmigung ihr Ermessen überschritten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Vorinstanz verfügt hat.</w:t>
      </w:r>
    </w:p>
    <w:p>
      <w:r>
        <w:rPr>
          <w:b/>
        </w:rPr>
        <w:t>E. 3.2</w:t>
      </w:r>
    </w:p>
    <w:p>
      <w:r>
        <w:t>Ermessensmissbrauch ist gegeben, wenn die entscheidende Stelle zwar im Rahmen des ihr eingeräumten Ermessens bleibt, sich aber von unsachlichen, dem Zweck der massgeblichen Vorschriften fremden Erwägungen leiten lässt oder allgemeine Rechtsprinzipien, wie das Verbot der Willkür und von rechtsungleicher Behandlung, das Gebot von Treu und Glauben sowie den Grundsatz der Verhältnismassigkeit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3.3</w:t>
      </w:r>
    </w:p>
    <w:p>
      <w:r>
        <w:t>Die gesetzlichen Regeln über die Fusion von Vorsorgeeinrichtungen finden sich in den Artikeln 88 bis 96 FusG. Demnach sind für die Durchführung einer Fusion folgende Dokumente notwendig: Fusionsvertrag, Fusionsbericht sowie die Prüfungsberichte des Experten für die berufliche Vorsorge und der Kontrollstellen. Die Versicherten sind vorgängig über die bevorstehende Fusion zu informieren. Gemäss Art. 92 Abs. 3 FusG erstellen die Revisionsstelle und die Expertin oder der Experte für die berufliche Vorsorge einen Bericht, in dem darzulegen ist, ob die Rechte und Ansprüche der Versicherten gewahrt sind. Gestützt darauf prüft die Aufsichtsbehörde gemäss Art. 95 Abs. 3 FusG, ob die Voraussetzungen einer Fusion gegeben sind, und erlässt eine Verfügung.</w:t>
      </w:r>
    </w:p>
    <w:p>
      <w:r>
        <w:rPr>
          <w:b/>
        </w:rPr>
        <w:t>E. 3.4</w:t>
      </w:r>
    </w:p>
    <w:p>
      <w:r>
        <w:t>In den Vorakten befinden sich der Fusionsvertrag (act. 1) und der Fusionsbericht (act. 4), beide vom 28. April 2011, der Expertenbericht vom 3. Mai 2011 (act. 5), der Revisionsbericht gemäss Art. 92 FusG der VE B._______ vom 22. Juni 2011(act. 8) sowie der Revisionsbericht gemäss Art. 92 FusG der VE C._______ vom 9. Mai 2011 (act. 9), ein Informationsschreiben vom 30. Mai 2011 an die Destinatäre (act. 15) sowie diverse weitere zweckdienliche Unterlagen. Im Bericht des Experten für die berufliche Vorsorge (act. 5) wird auf Seite 5 erläutert, wie die Rechte und Ansprüche der Versicherten gewahrt werden. Auch die Einmaleinlage des Arbeitgebers der VE B._______ wird bestätigt. Der Prüfungsbericht der Revisionsstelle der VE B._______ kommt ebenfalls zum Schluss, dass die Verpflichtungen der VE B._______ gegenüber ihren Versicherten vollständig von der VE C._______ übernommen und gewahrt werden (act. 8 S. 2/3).</w:t>
      </w:r>
    </w:p>
    <w:p>
      <w:r>
        <w:rPr>
          <w:b/>
        </w:rPr>
        <w:t>E. 3.5</w:t>
      </w:r>
    </w:p>
    <w:p>
      <w:r>
        <w:t>Nach Durchsicht der Fusionsakten kann festgehalten werden, dass die notwendigen Dokumente und Bestätigungen vollständig vorliegen. Die Berichte und Bestätigungen sind nachvollziehbar, plausibel und widerspruchsfrei. Die Berichte bestätigen, dass die Rechte und Ansprüche der Versicherten durch die Fusion nicht verletzt werden. Die Vorinstanz hat deshalb bei der Genehmigung der Fusion ihr Ermessen nicht überschritten. Immerhin ist auch festzustellen, dass der Eindruck der Beschwerdeführerin, wonach ihre Rente infolge des Fusionsvorgangs gesunken sei, auf ein unvollständiges Informationsschreiben der beiden Vorsorgeeinrichtungen zurückzuführen ist, wurde doch dort irrtümlich nicht darauf hingewiesen, dass auch die Invalidenrenten in ihrer Höhe nicht tangiert werden. Dieses Versehen kann indes nicht dazu führen, der Fusion die Genehmigung zu verweigern. Die weiteren Vorbringen und Vorwürfe der Beschwerdeführerin sind unsubstanziiert und haben mit dem Fusionsvorgang nichts zu tun. An dieser Stelle sei erwähnt, dass die Ausführungen der Vorinstanz (oben Bst. D) und der Beschwerdegegnerinnen (oben Bst. E), wonach die Rentensenkung per 1. Juli 2011 nicht auf den Fusionsvorgang, sondern auf die Umwandlung der Invaliden- in eine Altersrente zurückzuführen ist, zutreffend sein dürften. Gemäss Art. 49 Abs. 1 BVG können nämlich Vorsorgeeinrichtungen in ihren Reglementen vorsehen, dass Leistungen, die über die gesetzlichen Mindestbestimmungen hinausgehen, nur bis zum Erreichen des Rentenalters ausgerichtet werden (2. Satz). In BGE 130 V 369 E. 6.4 hat das Bundesgericht ausdrücklich bestätigt, dass Vorsorgeeinrichtungen im überobligatorischen Bereich nicht verpflichtet werden dürfen, die Invalidenrente über das Erreichen des Rentenalters hinaus auszurichten bzw. Altersrenten zu erbringen, die mindestens der vor Erreichen des Pensionierungsalters ausgerichteten Invalidenrente entsprechen. Allein die Tatsache, dass die Beschwerdeführerin für das erste Halbjahr 2011 ihre Invalidenrente weiterhin in gleicher Höhe ausgerichtet erhielt und die Kürzung erst auf Mitte Jahr erfolgte, macht offensichtlich, dass die Rentenkürzung mit der Fusion per 1. Januar 2011 nichts zu tun hat. Die Beschwerde ist deshalb insoweit abzuweisen.</w:t>
      </w:r>
    </w:p>
    <w:p>
      <w:r>
        <w:rPr>
          <w:b/>
        </w:rPr>
        <w:t>E. 4</w:t>
      </w:r>
    </w:p>
    <w:p>
      <w:r>
        <w:t>Soweit die Beschwerdeführerin rügt, ihre Altersrente sei im konkreten Fall nicht gesetzes- oder reglementskonform berechnet worden, ist sie, wie Vorinstanz und Beschwerdegegenrinnen richtig ausführen, an das kantonale Gericht zu verweisen. Gemäss Artikel 73 BVG bezeichnet jeder Kanton ein Gericht, das als letzte kantonale Instanz über Streitigkeiten zwischen Vorsorgeeinrichtungen, Arbeitgebern und Anspruchsberechtigten entscheidet. Es ist für die Prüfung der korrekten und rechtmässigen Anwendung des Reglements im konkreten Einzelfall zuständig. Das Gericht nach Art. 73 BVG ist auch zuständig zur Beurteilung der Frage, ob im vorliegenden Fall die Voraussetzungen für eine Teilkapitalauszahlung vorliegen, welche die Beschwerdeführerin verlangt. Auf die gestellten Anträge auf Auszahlung einer höheren Altersrente und auf Auszahlung einer Kapitalauszahlung ist deshalb mangels Zuständigkeit nicht einzutreten und die Beschwerdeführerin an das kantonale Gericht zu verweisen.</w:t>
      </w:r>
    </w:p>
    <w:p>
      <w:r>
        <w:rPr>
          <w:b/>
        </w:rPr>
        <w:t>E. 5</w:t>
      </w:r>
    </w:p>
    <w:p>
      <w:r>
        <w:t>Die Beschwerde ist daher abzuweisen, soweit darauf eingetreten werden kann. Mit Ergehen dieses Urteils kann das von den Beschwerdegegnerinnen mit Beschwerdeantwort vom 13. Februar 2012 gestellte Gesuch, der Beschwerde sei die aufschiebende Wirkung zu entziehen, als gegenstandslos abgeschrieben werden.</w:t>
      </w:r>
    </w:p>
    <w:p>
      <w:r>
        <w:rPr>
          <w:b/>
        </w:rPr>
        <w:t>E. 6.1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1'000.- festgelegt und mit dem am 29. November 2011 geleisteten Kostenvorschuss in Höhe von Fr. 1'500.- verrechnet. Die verbleibenden Fr. 500.- werden der Beschwerdeführerin nach Eintritt der Rechtskraft des vorliegenden Urteils zurückerstattet.</w:t>
      </w:r>
    </w:p>
    <w:p>
      <w:r>
        <w:rPr>
          <w:b/>
        </w:rPr>
        <w:t>E. 6.2</w:t>
      </w:r>
    </w:p>
    <w:p>
      <w:r>
        <w:t>Gemäss Art. 64 Abs. 1 VwVG kann die Beschwerdeinstanz der ganz oder teilweise obsiegenden Partei von Amtes wegen oder auf Begehren eine Entschädigung für ihr erwachsende Kosten aussprechen. Allerdings steht der obsiegenden Vorinstanz gemäss Art. 7 Abs. 3 VGKE keine Parteientschädigung zu. Dasselbe gilt für die Beschwerdegegnerinnen;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anwendet (vgl. Urteil des Bundesverwaltungsgerichts C-3914/2007 vom 23. April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