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C-6149/2015 vom 11. Oktober 2016</w:t>
      </w:r>
    </w:p>
    <w:p>
      <w:r>
        <w:t>Bundesverwaltungsgericht, 2016-10-11, DE</w:t>
      </w:r>
    </w:p>
    <w:p>
      <w:r>
        <w:rPr>
          <w:b/>
        </w:rPr>
        <w:t xml:space="preserve">Quelle: </w:t>
      </w:r>
      <w:r>
        <w:t>https://mcp.opencaselaw.ch/entscheid/bvger_C-6149_2015</w:t>
      </w:r>
    </w:p>
    <w:p>
      <w:r>
        <w:t>FR: TAF C-6149/2015 du 11 octobre 2016</w:t>
      </w:r>
    </w:p>
    <w:p>
      <w:r>
        <w:t>IT: TAF C-6149/2015 del 11 ottobre 2016</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12. August 2015, mit welchem die Vorinstanz den verfügungsweise zugesprochenen Rückvergütungsbetrag in der Höhe von Fr. 15'306.40 bestätigt hat. Strittig und vom Bundesverwaltungsgericht zu prüfen ist die Höhe des dem Beschwerdeführer zustehenden Rückvergütungsbetrags.</w:t>
      </w:r>
    </w:p>
    <w:p>
      <w:r>
        <w:rPr>
          <w:b/>
        </w:rPr>
        <w:t>E. 3.1</w:t>
      </w:r>
    </w:p>
    <w:p>
      <w:r>
        <w:t>Der Beschwerdeführer ist kosovarischer Staatsangehöriger (act. 6 S. 1 und S. 13) und lebt in Mazedonien (act. 6 S. 9). Die Frage nach einer Doppelbürgerschaft hat er ausdrücklich verneint (act. 5). Gemäss bundesgerichtlicher Rechtsprechung ist das Sozialversicherungsabkommen mit Jugoslawien seit dem 1. April 2010 auf kosovarische Staatsangehörige nicht mehr anwendbar (BGE 139 V 263 E. 3 bis 8), weshalb sich der Anspruch des Beschwerdeführers nach schweizerischem Recht beurteilt.</w:t>
      </w:r>
    </w:p>
    <w:p>
      <w:r>
        <w:rPr>
          <w:b/>
        </w:rPr>
        <w:t>E. 3.2</w:t>
      </w:r>
    </w:p>
    <w:p>
      <w:r>
        <w:t>In materieller Hinsicht sind grundsätzlich diejenigen Rechtssätze massgebend, die bei der Erfüllung des zu Rechtsfolgen führenden Tatbestandes Geltung haben. Ist die Rückvergütung von AHV-Beiträgen zu beurteilen, ist auf die im Zeitpunkt der Antragstellung (vorliegend am 9. Januar 2015) geltenden Bestimmungen abzustellen (BGE 136 V 24 E. 4.4; Urteil des BVGer C-5012/2014 vom 25. März 2015 E. 3.1).</w:t>
      </w:r>
    </w:p>
    <w:p>
      <w:r>
        <w:rPr>
          <w:b/>
        </w:rPr>
        <w:t>E. 4.1</w:t>
      </w:r>
    </w:p>
    <w:p>
      <w:r>
        <w:t>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4.2</w:t>
      </w:r>
    </w:p>
    <w:p>
      <w:r>
        <w:t>Wie bereits erwähnt ist das Sozialversicherungsabkommen mit Jugoslawien seit dem 1. April 2010 auf kosovarische Staatsangehörige nicht mehr anwendbar (BGE 139 V 263 E. 3 bis 8), weshalb zwischen der Schweiz und dem Heimatstaat des Beschwerdeführers kein zwischenstaatliches Abkommen im Sinne von Art. 18 Abs. 3 AHVG und Art. 1 Abs. 1 RV-AHV besteht. Ferner ist unbestritten, dass der Beschwerdeführer während mehr als einem Jahr Beiträge an die AHV geleistet hat, die keinen Rentenanspruch begründen, er nicht mehr in der Schweiz wohnt und aus der AHV ausgeschieden ist. Zudem haben weder seine Ehefrau noch seine Kinder Wohnsitz in der Schweiz. Folglich hat der Beschwerdeführer grundsätzlich Anspruch auf Rückvergütung seiner AHV-Beiträge.</w:t>
      </w:r>
    </w:p>
    <w:p>
      <w:r>
        <w:rPr>
          <w:b/>
        </w:rPr>
        <w:t>E. 5.1</w:t>
      </w:r>
    </w:p>
    <w:p>
      <w:r>
        <w:t>Nach Art. 4 Abs. 1 RV-AHV werden nur die tatsächlich bezahlten Beiträge rückvergütet. Zinsen werden vorbehältlich Art. 26 Abs. 2 ATSG keine geleistet.</w:t>
      </w:r>
    </w:p>
    <w:p>
      <w:r>
        <w:rPr>
          <w:b/>
        </w:rPr>
        <w:t>E. 5.2</w:t>
      </w:r>
    </w:p>
    <w:p>
      <w:r>
        <w:t>Hinsichtlich der Dauer der Beitragsleistung, der Höhe der Beiträge sowie der Höhe der Jahreseinkommen wird grundsätzlich auf die individuellen Konten abgestellt, die für jeden beitragspflichtigen Versicherten geführt werden und in welche die für die Berechnung der ordentlichen Renten erforderlichen Angaben eingetragen werden (Art. 30ter Abs. 1 AHVG und Art. 140 Abs. 1 Bst. d und e AHVV [SR 831.101]). Die Einträge setzen sich aus den AHV-Beiträgen der unselbständig Erwerbstätigen und ihrer Arbeitgeber zusammen und betragen je 4.2 % vom Einkommen aus unselbständiger Tätigkeit. Entsprechend werden 8.4 % der massgebenden Einkommen einbezahlt (vgl. Art. 5 Abs. 1 und Art. 13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w:t>
      </w:r>
    </w:p>
    <w:p>
      <w:r>
        <w:rPr>
          <w:b/>
        </w:rPr>
        <w:t>E. 5.3</w:t>
      </w:r>
    </w:p>
    <w:p>
      <w:r>
        <w:t>Versicherte können einen Auszug aus dem individuellen Konto (IK-Auszug) und anschliessend eine Berichtigung verlangen (vgl. Art. 141 Abs. 1 und 2 AHVV). Wird kein IK-Auszug (oder keine Berichtigung) verlangt, so kann bei Eintritt des Versicherungsfalles eine Kontenberichtigung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 Urteil des BGer 9C_899/2010 vom 15. Dezember 2010 E. 2.1). Weiter kann nach der Rechtsprechung eine Eintragung im IK gestützt auf Art. 30ter Abs. 2 AHVG nur erfolgen, wenn der Nachweis erbracht ist, dass der Arbeitgeber die Beiträge vom Lohn seines Arbeitnehmers abgezogen hat oder Arbeitgeber und Arbeitnehmer eine Nettolohnvereinbarung getroffen haben (BGE 117 V 261 E. 3a; Urteil des BGer 9C_374/2015 vom 24. September 2015 E. 4 m.w.H.). Der geforderte volle Beweis zur Berichtigung von IK-Eintragungen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EVG H 41/04 vom 19. Oktober 2004 E. 4 sowie H 141/03 vom 8. Oktober 2003 E. 3.1).</w:t>
      </w:r>
    </w:p>
    <w:p>
      <w:r>
        <w:rPr>
          <w:b/>
        </w:rPr>
        <w:t>E. 5.4</w:t>
      </w:r>
    </w:p>
    <w:p>
      <w:r>
        <w:t>Aus dem vorliegenden IK-Auszug ergibt sich, dass der Beschwerdeführer in den Jahren 1978 bis 1990 in der Schweiz erwerbstätig war und dabei ein massgebendes Einkommen von total Fr. 182'218.­- erzielte. Es wird weder vom Beschwerdeführer substantiiert geltend gemacht noch ergeben sich konkrete Hinweise aus den Akten, dass die Einträge im individuellen Konto unvollständig oder fehlerhaft sind. Sämtliche Arbeitgeber, für die Beschwerdeführer gemäss seinen im Rahmen der Einsprache gemachten Angaben in der Schweiz zwischen 1978 bis 1990 gearbeitet hat (act. 18), sind im IK-Auszug aufgeführt. Mangels konkreter Anhaltspunkte sind damit keine weiteren Sachverhaltsabklärungen angezeigt. Vom Einkommen von Fr. 182'218.­- wurden vom Beschwerdeführer sowie seinen ehemaligen Arbeitgebern insgesamt Beiträge von 8,4 % an die AHV entrichtet. Der Beschwerdeführer hat einen Anspruch auf Rückvergütung dieser an die AHV geleisteten Beiträge, welche im vorliegenden Fall Fr. 15'306.40 betragen. Die Vorinstanz hat diesen Betrag korrekt berechnet.</w:t>
      </w:r>
    </w:p>
    <w:p>
      <w:r>
        <w:rPr>
          <w:b/>
        </w:rPr>
        <w:t>E. 5.5</w:t>
      </w:r>
    </w:p>
    <w:p>
      <w:r>
        <w:t>Schliesslich ist darauf hinzuweisen, dass der Beschwerdeführer, der das ordentliche Rentenalter von 65 Jahren (Art. 21 Abs. 1 Bst. a AHVG) in einem Zeitpunkt erreichte, in welchem das Sozialversicherungsabkommen mit Jugoslawien im Verhältnis zu Kosovo nicht mehr anwendbar war, über keinen Anspruch auf eine Altersrente und auch nicht auf eine - ehemals mögliche - Abfindung verfügt (vgl. Art. 7 Bst. a des Sozialversicherungsabkommens; vgl. Urteil des BGer 9C_534/2013 vom 13. Dezember 2013 E. 4.2.2).</w:t>
      </w:r>
    </w:p>
    <w:p>
      <w:r>
        <w:rPr>
          <w:b/>
        </w:rPr>
        <w:t>E. 6</w:t>
      </w:r>
    </w:p>
    <w:p>
      <w:r>
        <w:t>Zusammenfassend ist festzuhalten, dass die Berechnung des Rückvergütungsbetrags durch die Vorinstanz nicht zu beanstanden ist.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