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C-6148/2014 vom 4. November 2016</w:t>
      </w:r>
    </w:p>
    <w:p>
      <w:r>
        <w:t>Bundesverwaltungsgericht, 2016-11-04, DE</w:t>
      </w:r>
    </w:p>
    <w:p>
      <w:r>
        <w:rPr>
          <w:b/>
        </w:rPr>
        <w:t xml:space="preserve">Quelle: </w:t>
      </w:r>
      <w:r>
        <w:t>https://mcp.opencaselaw.ch/entscheid/bvger_C-6148_2014</w:t>
      </w:r>
    </w:p>
    <w:p>
      <w:r>
        <w:t>FR: TAF C-6148/2014 du 4 novembre 2016</w:t>
      </w:r>
    </w:p>
    <w:p>
      <w:r>
        <w:t>IT: TAF C-6148/2014 del 4 novembre 2016</w:t>
      </w:r>
    </w:p>
    <w:p>
      <w:pPr>
        <w:pStyle w:val="Heading2"/>
      </w:pPr>
      <w:r>
        <w:t>Regeste</w:t>
      </w:r>
    </w:p>
    <w:p>
      <w:r>
        <w:t>Spezialitätenliste in der Krankenversicherung</w:t>
      </w:r>
    </w:p>
    <w:p>
      <w:pPr>
        <w:pStyle w:val="Heading2"/>
      </w:pPr>
      <w:r>
        <w:t>Erwägungen</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 hat die Beschwerdeführerin am vor­instanzlichen Verfahren teilgenommen. Sie ist als Adressatin durch die angefochtene Verfügung ohne Zweifel besonders berührt und hat an deren Aufhebung bzw. Abänderung ein schutzwürdiges Interesse. Auch der einverlangte Verfahrenskostenvorschuss in der Höhe von Fr. 4'000.- wurde rechtzeitig geleistet, weshalb auf die frist- und formgerecht eingereichte Beschwerde einzutreten ist (vgl. Art. 50 Abs. 1, Art. 52 und Art. 63 Abs. 4 VwVG).</w:t>
      </w:r>
    </w:p>
    <w:p>
      <w:r>
        <w:rPr>
          <w:b/>
        </w:rPr>
        <w:t>E. 2</w:t>
      </w:r>
    </w:p>
    <w:p>
      <w:r>
        <w:t>Anfechtungsobjekt ist die Verfügung der Vorinstanz vom 19. August (recte: September) 2014 (BAG-act. 6 sowie Beilage 1 zu BVGer-act. 1), mit welcher im Rahmen der dreijährlichen Überprüfung der Aufnahmebedingungen gestützt auf Art. 65d Abs. 1bis Bst. a KVV der Publikumspreis (PP) der gesamten Gamme des von der Beschwerdeführerin vertriebenen Arznei­mittels A._______ unter alleiniger Anwendung des Auslandpreisvergleichs per 1. November 2014 um (...) % gesenkt wurde. Die Beschwerde richtet sich gegen diese Verfügung als Ganzes (vgl. BVGer-act. 1 S. 2). Dieser Sachverhalt steht fest und ist unbestritten. Streitgegenstand, der sich grundsätzlich durch den Gegenstand der angefochtenen Verfügung sowie die Parteibegehren bestimmt (BGE 133 II 35 E. 2), ist vorliegend damit die Rechtmässigkeit der angeordneten Preissenkung per 1. November 2014 für das Arzneimittel A._______.</w:t>
      </w:r>
    </w:p>
    <w:p>
      <w:r>
        <w:rPr>
          <w:b/>
        </w:rPr>
        <w:t>E. 3.1</w:t>
      </w:r>
    </w:p>
    <w:p>
      <w:r>
        <w:t>Die Beschwerdeführerin kann im Rahmen des Beschwerdeverfahrens nach Art. 49 VwVG die Verletzung von Bundesrecht unter Einschluss des Missbrauchs oder der Überschreitung des Ermessens (Bst. a), die un­richtige oder unvollständige Feststellung des rechtserheblichen Sach­verhalts (Bst. b) sowie die Unangemessenheit des Entscheids (Bst. c) beanstanden.</w:t>
      </w:r>
    </w:p>
    <w:p>
      <w:r>
        <w:rPr>
          <w:b/>
        </w:rPr>
        <w:t>E. 3.1.1</w:t>
      </w:r>
    </w:p>
    <w:p>
      <w:r>
        <w:t>Eine Verletzung von Bundesrecht liegt vor, wenn eine Norm fehlerhaft konkretisiert, aber auch, wenn eine Norm zu Unrecht nicht an­gewendet wird oder wenn eine falsche oder ungültige Norm zur Anwen­dung gelangt (falsche Ermittlung des massgeblichen Rechts). Bei der Rüge, es sei eine ungültige Norm angewendet worden, stellt sich die Frage nach einer vorfrageweisen Prüfung der Norm auf ihre Vereinbarkeit mit höherrangigem Recht. Als Grundsatz gilt, dass die Beschwerde­instanz Verordnungen auf ihre Übereinstimmung mit Gesetzes-, Staats­vertrags- und Verfassungsrecht hin prüfen kann und muss (vgl. hierzu Benjamin Schindler, in: Auer/Müller/Schindler [Hrsg.], Kommentar zum Bundesgesetz über das Verwaltungsverfahren [VwVG], Zürich 2008, Rz. 23 zu Art. 49).</w:t>
      </w:r>
    </w:p>
    <w:p>
      <w:r>
        <w:rPr>
          <w:b/>
        </w:rPr>
        <w:t>E. 3.1.2</w:t>
      </w:r>
    </w:p>
    <w:p>
      <w:r>
        <w:t>Ein Ermessensmissbrauch ist gegeben, wenn die entscheidende Stelle zwar im Rahmen des ihr eingeräumten Ermessens bleibt, sich aber von unsachlichen, dem Zweck der massgebenden Vorschriften fremden Erwägungen leiten lässt oder allgemeine Rechtsprinzipien, wie das Verbot der Willkür, der rechtsungleichen Behandlung, das Gebot von Treu und Glauben oder den Grundsatz der Verhältnismässigkeit verletzt (vgl. BVGE 2007/17 E. 2.2; BGE 123 V 152 E. 2 mit Hinweisen; Urteil des Bundesgerichts 8C_676/2010 vom 11. Februar 2011; Benjamin Schindler, a.a.O., Rz. 26 zu Art. 49).</w:t>
      </w:r>
    </w:p>
    <w:p>
      <w:r>
        <w:rPr>
          <w:b/>
        </w:rPr>
        <w:t>E. 3.1.3</w:t>
      </w:r>
    </w:p>
    <w:p>
      <w:r>
        <w:t>Nach der Rechtsprechung hat auch eine Rechtsmittelbehörde, der die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w:t>
      </w:r>
    </w:p>
    <w:p>
      <w:r>
        <w:rPr>
          <w:b/>
        </w:rPr>
        <w:t>E. 3.1.4</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(im Folgenden: SL-Handbuch, abrufbar unter http://www.bag.admin.ch &gt; Themen &gt; Krankenversicherung &gt; Tarife und Preise &gt; Spezialitätenliste &gt; Handbuch, zuletzt besucht am 26. September 2016)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Basel und Frankfurt am Main 1996, Rz. 1038; Urteil des Bundesverwaltungsgerichts C-2095/2006 vom 9. April 2007 E. 3.5). Verwaltungsverordnungen müssen in jedem Fall durch ausreichende rechtssatzmässige Regelungen gedeckt sein. Sie sind zwar nicht als unmittelbar anwendbare Rechtssätze zu qualifizieren, können jedoch als Auslegungshilfen herangezogen werden - insbe­sondere dann, wenn es um die Anwendung unbestimmter Rechtsbegriffe im konkreten Einzelfall geht (vgl. Urteile des Bundesverwaltungsgerichts C-5926/2008 vom 11. September 2011 E. 3.5 und C-2263/2006 vom 7. November 2007 E. 5.1). Sie binden aber das Gericht nicht (vgl. BGE 127 V 67 E. 1.1.1 mit Hinweisen).</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(BVGE 2009/61 E. 6.1, BVGE 2007/41 E. 2 mit Hinweisen; vgl. dazu auch Fritz Gygi, Bundesverwaltungsrechtspflege, 2. Aufl. 1983, S. 212).</w:t>
      </w:r>
    </w:p>
    <w:p>
      <w:r>
        <w:rPr>
          <w:b/>
        </w:rPr>
        <w:t>E. 3.3</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also am 19. August (recte: September) 2014 geltenden materiellen Bestimmungen (vgl. Urteil des BVGer C-2979/2008 vom 1. Dezember 2010 E. 4.1). Dazu gehören einerseits namentlich das KVG in der nach Inkrafttreten der Änderung vom 1. März 2014 geltenden Fassung (AS 2014 387; BBl 2013 2459 2469), die KVV in der nach Inkrafttreten der Änderung vom 1. März 2014 geltenden Fassung (AS 2013 4523) und die KLV in der nach Inkrafttreten der Änderung vom 1. Juli 2014 geltenden Fassung (AS 2014 1251).</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(Art. 52 Abs. 1 Bst. b Satz 2 KVG).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70a KVV sowie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32 Abs. 1 KVG,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 die Zulassungsinhaberin sich nach Aufforderung des BAG weigert, ihrer Meldepflicht gemäss Artikel 65f Absatz 4 nachzukommen (Bst. f) oder die Zulassungsinhaberin sich weigert, erzielte Mehreinnahmen nach Artikel 67 Absatz 2ter einzuzahlen (Bst. g).</w:t>
      </w:r>
    </w:p>
    <w:p>
      <w:r>
        <w:rPr>
          <w:b/>
        </w:rPr>
        <w:t>E. 4.7</w:t>
      </w:r>
    </w:p>
    <w:p>
      <w:r>
        <w:t>Das BAG überprüft sämtliche Arzneimittel, die in der Spezialitätenliste aufgeführt sind, periodisch alle drei Jahre, ob sie die Aufnahmebedingungen noch erfüllen (Art. 65d Abs. 1 KVV i.V.m. Art. 35b Abs. 1 KLV; Art. 32 Abs. 2 KVG). Diese Überprüfung findet auch statt bei Ablauf des Patentschutzes von Originalpräparaten (Art. 65e Abs. 1 KVV), einer Indikationserweiterung oder Limitierungsänderung (Art. 65f Abs. 1 KVV) sowie bei einem Preiserhöhungsgesuch (Art. 67 Abs. 2 KVV i.V.m.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&gt; Kommissionen &gt; Parlamentarische Verwaltungskontrolle &gt; Publikationen &gt; Berichte 2013, zuletzt besucht am 26. September 2016 [im Folgenden:] Gutachten Gächter/Meienberger).</w:t>
      </w:r>
    </w:p>
    <w:p>
      <w:r>
        <w:rPr>
          <w:b/>
        </w:rPr>
        <w:t>E. 5</w:t>
      </w:r>
    </w:p>
    <w:p>
      <w:r>
        <w:t>Nicht strittig ist, dass für das Arzneimittel A._______ nach wie vor eine gültige Zulassung des Heilmittelinstituts (Swissmedic) vorliegt (siehe auch die Liste der zugelassenen Präparate abrufbar unter www.swissmedic.ch &gt; Arzneimittel &gt; Zugelassene Präparate &gt; Human- und Tierarzneimittel, zuletzt besucht am 26. September 2016). Ebenfalls nicht umstritten ist, dass A._______ die Zulassungsvoraussetzungen der Wirksamkeit und Zweckmässigkeit immer noch erfüllt. Zu überprüfen ist im Folgenden, ob die von der Vorinstanz im Rahmen der dreijährlichen Überprüfung der Aufnahmebedingungen von A._______ angeordnete Preisreduktion im Umfang von (...) % rechtskonform ist.</w:t>
      </w:r>
    </w:p>
    <w:p>
      <w:r>
        <w:rPr>
          <w:b/>
        </w:rPr>
        <w:t>E. 5.1</w:t>
      </w:r>
    </w:p>
    <w:p>
      <w:r>
        <w:t>Das Bundesverwaltungsgericht hat in seinem Grundsatzurteil BVGE 2015/51 (Urteil C-5912/2013 vom 30. April 2015) in E. 8 erkannt, dass nach dem Willen des Gesetzgebers und der konstanten Praxis des Bundesgerichts bei der dreijährlichen Überprüfung der Wirksamkeit, Zweckmässigkeit und Wirtschaftlichkeit von Arzneimitteln (gestützt auf Art. 65d Abs. 1bis Bst. a KVV [in der ab 1. Juni 2013 geltenden Fassung; AS 2013 1353])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Es hob deshalb die im genannten Verfahren angefochtene Verfügung auf und wies die Sache zur Durchführung weiterer Abklärungen und umfassender Überprüfung sowie zum anschliessenden Erlass einer neuen Verfügung im Sinne der Erwägungen an die Vor­instanz zurück.</w:t>
      </w:r>
    </w:p>
    <w:p>
      <w:r>
        <w:rPr>
          <w:b/>
        </w:rPr>
        <w:t>E. 5.2</w:t>
      </w:r>
    </w:p>
    <w:p>
      <w:r>
        <w:t>Diesen Entscheid des Bundesverwaltungsgerichts hat das Bundesgericht mit BGE 142 V 26 (Urteil 9C_417/2015 vom 14. Dezember 2015) vollumfänglich bestätigt. Das Bundesgericht hat dabei insbesondere nochmals hervorgehoben, dass die eingeschränkte Prüfung der Wirtschaftlichkeit, die allein auf einem Vergleich des Fabrikabgabepreises in der Schweiz mit dem Durchschnitt der Fabrikabgabepreise des grundsätzlich gleichen Arzneimittels in ausgewählten Vergleichsländern basiert, das Kosten-Nutzen-Verhältnis nicht berücksichtigt. Mit einem Verzicht auf die Durchführung eines TQV blieben allfällige Veränderungen in der SL, namentlich in Form von neuen, eventuell erheblich wirksameren Arzneimitteln oder von neuen Studien über die Wirkung des zu überprüfenden Arzneimittels gänzlich unbeachtet. Die Konsequenz dieser ausschliesslich preisbezogenen Überprüfung gemäss Art. 65d Abs. 1bis KVV sei, dass die Spezialitätenliste Arzneimittel enthalten könne, die qualitativ nicht mehr dem neuesten Stand bzw. dem höchsten Nutzen entsprechen (vgl. E. 5.4 des besagten Urteils).</w:t>
      </w:r>
    </w:p>
    <w:p>
      <w:r>
        <w:rPr>
          <w:b/>
        </w:rPr>
        <w:t>E. 5.3</w:t>
      </w:r>
    </w:p>
    <w:p>
      <w:r>
        <w:t>Mit Blick auf das dargelegte und vom Bundesgericht mit BGE 142 V 26 bestätigte Grundsatzurteil des Bundesverwaltungsgerichts BVGE 2015/51 ist auch im vorliegenden Fall festzuhalten, dass die von der Vorinstanz im Rahmen der dreijährlichen Prüfung allein gestützt auf den APV verfügte Preissenkung nicht auf einer ausreichenden Rechtsgrundlage beruht, was zur Aufhebung der angefochtenen Verfügung vom 19. August (recte: September) 2014 führt. Die Streitsache ist demnach an die Vorinstanz zur Vornahme einer neuen, umfassenden Wirtschaftlichkeitsprüfung im Sinne der vorstehenden Erwägung zurückzuweisen. Die Überprüfung der Aufnahmebedingungen wird dabei anhand von APV und TQV vorzunehmen sein. Nicht zu beurteilen ist, wie der TQV im vorliegenden Fall konkret auszugestalten und wie die Vergleichsgruppe zu bestimmen ist. Da Art. 35 KLV per 1. Juni 2015 aufgehoben wurde (vgl. Änderung vom 29. April 2015, AS 2015 1359), ist in diesem Zusammenhang auf die Rüge betreffend die "Preislimitierung" nicht weiter einzugehen. Offen bleiben kann auch die aufgeworfene Frage, ob vorliegend die Kosten für Forschung und Entwicklung zu berücksichtigen sind.</w:t>
      </w:r>
    </w:p>
    <w:p>
      <w:r>
        <w:rPr>
          <w:b/>
        </w:rPr>
        <w:t>E. 6</w:t>
      </w:r>
    </w:p>
    <w:p>
      <w:r>
        <w:t>Auch wenn die umstrittene Preisreduktion aufgrund des unvollständig abgeklärten Sachverhalts im Zusammenhang mit dem TQV aufzuheben ist, sind im Folgenden die von der Beschwerdeführerin erhobenen Einwendungen gegen den im konkreten Fall vorgenommenen APV zu prüfen.</w:t>
      </w:r>
    </w:p>
    <w:p>
      <w:r>
        <w:rPr>
          <w:b/>
        </w:rPr>
        <w:t>E. 6.1</w:t>
      </w:r>
    </w:p>
    <w:p>
      <w:r>
        <w:t>Die Vorinstanz hat im vorliegenden Fall gestützt auf die Angaben der Beschwerdeführerin einen APV durchgeführt und ist unter Berücksichtigung der von der Beschwerdeführerin beantragten Toleranzmarge von 5 % zum Schluss gekommen, dass der Schweizer Preis von A._______ (...) % höher ist als der durchschnittliche in Schweizerfranken umgerechnete FAP der Vergleichsländer. Zwar geht aus den vorinstanzlichen Akten nicht hervor, gestützt auf welchen Referenzländern gemäss Art. 35 Abs. 2 KLV (in der vorliegend geltenden Fassung, vgl. E. 3.3 hiervor) der APV durchgeführt wurde. Indes geht aus den Akten implizit hervor, dass die einbezogenen Vergleichsländer und die jeweiligen FAP der Vergleichsländer unbestritten sind. Soweit die Beschwerdeführerin geltend macht, dass die angeordnete Preisreduktion von (...) % einzig auf den Zerfall der Vergleichswährungen, allen voran des Euro, zurückzuführen sei und die FAP in den Vergleichsländern praktisch unverändert seien, wird das von der Vorinstanz ebenfalls nicht in Abrede gestellt.</w:t>
      </w:r>
    </w:p>
    <w:p>
      <w:r>
        <w:rPr>
          <w:b/>
        </w:rPr>
        <w:t>E. 6.2</w:t>
      </w:r>
    </w:p>
    <w:p>
      <w:r>
        <w:t>Die Beschwerdeführerin rügt im Wesentlichen, dass rein wechselkursbedingte Preissenkungen nicht sachgerecht seien. Eine Preisfestsetzung, die auf Wechselkursschwankungen abstellt, ohne dass in den Referenzländern tatsächlich Preissenkungen in diesem Ausmass vorgenommen worden seien, sei nicht sachgerecht und willkürlich. Folglich sei die in der Verordnung vorgesehene Toleranzmarge von 5 % ungenügend, weshalb entweder ein kaufkraftbereinigter Wechselkurs oder eine höhere Toleranzmarge von 12 % zu gewähren sei.</w:t>
      </w:r>
    </w:p>
    <w:p>
      <w:r>
        <w:rPr>
          <w:b/>
        </w:rPr>
        <w:t>E. 6.3</w:t>
      </w:r>
    </w:p>
    <w:p>
      <w:r>
        <w:t>Im in Rechtskraft erwachsenen Urteil C-6066/2014 vom 21. April 2016 musste sich das Bundesverwaltungsgericht ebenfalls mit den gleichen Rügen auseinandersetzen. Es erwog im Wesentlichen Folgendes:</w:t>
      </w:r>
    </w:p>
    <w:p>
      <w:r>
        <w:rPr>
          <w:b/>
        </w:rPr>
        <w:t>E. 6.3.1</w:t>
      </w:r>
    </w:p>
    <w:p>
      <w:r>
        <w:t>Die Ansicht des BAG, wonach im Rahmen des APV rein wechselkursbedingte Preisreduktionen zulässig sowie kaufkraftbereinigte Wechselkurse nicht zu berücksichtigen seien, komme in Ziffer C.3.3.2 des SL-Handbuchs (Stand: 1. März 2013) zum Ausdruck. Diese Bestimmung sehe vor, dass für die Umrechnung der Fabrikabgabepreise in Schweizer Franken das Monatsmittel der Devisenkurse der Schweizerischen Nationalbank über 12 Monate massgebend sei; sie stehe demnach in Einklang mit Art. 35 Abs. 3 KLV, gemäss welchem der Auslandpreisvergleich gestützt auf die in Schweizerfranken umgerechneten FAP der Vergleichsländer erfolge. Diese Regelung habe zur Folge, dass auch rein wechselkursbedingte Preisreduktionen resultieren könnten. Im Weiteren sei die Abstützung auf den Auslandpreisvergleich mittels Wechselkursen seit Jahren gängige Praxis und es liege in der Natur der Sache, dass diese gewissen Schwankungen unterworfen seien (E. 6.4.1). Weiter seien keine Gründe ersichtlich, Art. 35 Abs. 3 KLV über dessen Wortlaut hinaus dahingehend auszulegen, dass rein wechselkursbedingte Preisreduktionen unzulässig wären oder dass ein Preisniveauindex zu berücksichtigen wäre. Sofern in den Kommentaren des BAG zu den Änderungen der KVV und KLV Bezug auf Wechselkursschwankungen genommen werde, geschehe dies jeweils im Zusammenhang mit der Toleranzmarge (vgl. BAG-Kommentar vom 29. Juni 2009 zu den Änderungen der KVV und der KLV per 1. Oktober 2009 und 1. Januar 2010, S. 7 f.). Diese sei für die ordentliche dreijährliche Überprüfung mit der Änderung der KLV vom 30. Juni 2010 im Rahmen der Revision von Art. 35b KLV eingeführt (AS 2010 3249) und später mit der Änderung der KVV und KLV vom 21. März 2012 auf den 1. Mai 2012 (AS 2012 1767) von 3 % auf 5 % erhöht worden (E. 6.4.2).</w:t>
      </w:r>
    </w:p>
    <w:p>
      <w:r>
        <w:rPr>
          <w:b/>
        </w:rPr>
        <w:t>E. 6.3.2</w:t>
      </w:r>
    </w:p>
    <w:p>
      <w:r>
        <w:t>Im Weiteren habe das BAG insbesondere im März 2012 darauf hingewiesen, dass bei einer Anwendung des aktuellen Wechselkurses bei Arzneimitteln, die seit 2009 keinem Preisvergleich unterzogen worden seien, im Zuge der Preisüberprüfungen von 2012 bis 2014 - im Falle eines unveränderten Durchschnittspreises im Ausland - eine rein wechselkursbedingte Preissenkung von 23 Prozent resultieren würde. Um der ausserordentlichen Wechselkurssituation vom Sommer 2011 und den damit verbundenen langfristigen Wirkungen in einem angemessenen Masse Rechnung zu tragen, solle die Toleranzmarge bei der Überprüfung der Aufnahmebedingungen alle drei Jahre von 3 % auf 5 % erhöht werden. Weiter werde zur Glättung des Effekts kurzfristiger Wechselkursschwankungen der Wechselkurs neu bei allen Preisüberprüfungen über 12 Monate (anstatt 6 Monate) berechnet (vgl. E. 6.4.2 mit Hinweisen). Demnach sei keine Absicht des Verordnungsgebers erkennbar, rein wechselkursbedingte Preisreduktionen zu verhindern. Er habe der ausserordentlichen Wechselkurssituation aber immerhin dahingehend Rechnung getragen, indem der Wechselkurs aufgrund des Durchschnitts von zwölf Monaten bestimmt sowie eine Toleranzmarge gewährt werde. Kaufkraftbereinigte Wechselkurse zur Abfederung von Wechselkursschwankungen habe der Verordnungsgeber nicht vorgesehen. Vielmehr habe es der Bundesrat in Kenntnis der Problematik ausdrücklich abgelehnt, eine weitergehende Sonderlösung bezüglich der Wechselkurssituation für einzelne Branchen zu treffen, und sah vor diesem Hintergrund keinen weiteren Handlungsspielraum, die geltenden Regelungen für die Überprüfungen der Jahre 2012 bis 2014 erneut anzupassen. Es lägen somit keine Hinweise dafür vor, dass rein wechselkursbedingte Preisreduktionen dem Willen des Verordnungsgebers widersprächen (vgl. E 6.4.3 mit Hinweisen). Dass der Wechselkurs nur dann zum Tragen komme, wenn sich im Vergleichsland die Preise geändert hätten, finde weder in Art. 65b Abs. 2 KVV noch in Art. 35 KLV eine Grundlage. Auch sei kein Verstoss gegen übergeordnete Gesetzesbestimmungen erkennbar, zumal das KVG zur Art und Weise der Durchführung der Wirtschaftlichkeitsprüfung keine Vorgaben enthalte. Die Festlegung der Modalitäten des APV sei im Rahmen seiner Vollzugskompetenzen somit dem Verordnungsgeber überlassen, soweit diese dem Ziel des Gesetzgebers entsprächen, nur Leistungen zu vergüten, die den Anforderungen von Art. 32 Abs. 1 KVG genügten. Es sei folglich weder von einer Verletzung des Legalitätsprinzips noch des Willkürverbots auszugehen. Ob auch die Anwendung eines kaufkraftbereinigten Wechselkurses zur Abfederung von Wechselkursschwankungen sachgerecht wäre, müsse vom Gericht nicht beurteilt werden. Daher sei auf Ausführungen im Zusammenhang mit Preisniveau, Kaufkraft und Kaufkraftparität nicht einzugehen (E. 6.4.4).</w:t>
      </w:r>
    </w:p>
    <w:p>
      <w:r>
        <w:rPr>
          <w:b/>
        </w:rPr>
        <w:t>E. 6.3.3</w:t>
      </w:r>
    </w:p>
    <w:p>
      <w:r>
        <w:t>Hinsichtlich der Höhe der gewährten Toleranzmarge von 5 % hielt das Bundesverwaltungsgericht schliesslich fest, dass das Vorgehen der Vorinstanz ebenfalls in Einklang mit den massgebenden Bestimmungen stehe. Es verwies dabei auf den Inhalt der vom 1. Mai 2012 bis 31. Dezember 2014 gültig gewesenen Übergangsbestimmung zu Art. 35b KLV (vgl. AS 2012 1769) und hob nochmals hervor, dass es dem Willen des Verordnungsgebers entspreche, mit der Toleranzmarge nicht die Auswirkungen von Wechselkursschwankungen vollständig zu eliminieren, sondern im Umfang von höchstens 5 % abzufedern. Deshalb sah es auch keinen Raum für eine Erhöhung der Toleranzmarge. (vgl. E. 6.4.5).</w:t>
      </w:r>
    </w:p>
    <w:p>
      <w:r>
        <w:rPr>
          <w:b/>
        </w:rPr>
        <w:t>E. 6.4</w:t>
      </w:r>
    </w:p>
    <w:p>
      <w:r>
        <w:t>Die hiervor wiedergegebenen Erwägungen des Bundesverwaltungsgerichts, welche für die Verordnungsbestimmungen in der vorliegend massgebenden Fassung (E. 3.3 hiervor) uneingeschränkt Geltung haben, sind auch im vorliegenden Fall beachtlich. Auch im vorliegenden Fall besteht weder Raum für eine Erhöhung der Toleranzmarge noch für die Anwendung eines kaufkraftbereinigten Wechselkurses.</w:t>
      </w:r>
    </w:p>
    <w:p>
      <w:r>
        <w:rPr>
          <w:b/>
        </w:rPr>
        <w:t>E. 7</w:t>
      </w:r>
    </w:p>
    <w:p>
      <w:r>
        <w:t>Eine abschliessende Prüfung der geltend gemachten Verletzung der Wirtschaftsfreiheit erübrigt sich, da die angefochtene Verfügung ohnehin aufzuheben ist und die Vorinstanz die Preise von A._______ auch unter Berücksichtigung des TQV neu festzusetzen haben wird.</w:t>
      </w:r>
    </w:p>
    <w:p>
      <w:r>
        <w:rPr>
          <w:b/>
        </w:rPr>
        <w:t>E. 8</w:t>
      </w:r>
    </w:p>
    <w:p>
      <w:r>
        <w:t>Zusammenfassend ergibt sich, dass bei der dreijährlichen Überprüfung der Wirksamkeit, Zweckmässigkeit und Wirtschaftlichkeit von Arzneimitteln dieselben Prüfkriterien wie bei der Aufnahme eines Arzneimittels in die Spezialitätenliste anzuwenden sind; die Wirtschaftlichkeitsprüfung nach Art. 32 KVG hat dabei auf den beiden Elementen TQV und APV zu basieren. Da der entscheidwesentliche Sachverhalt bezüglich der Durchführung eines TQV nicht abgeklärt wurde, kann die Streitsache nicht abschliessend materiell beurteilt werden. Die Beschwerde ist daher dahingehend gutzuheissen, dass die angefochtene Verfügung vom 19. August (recte: September) 2014 aufzuheben und die Sache an die Vorinstanz zur Vornahme einer neuen, umfassenden Wirtschaftlichkeitsprüfung unter Einschluss eines APV und TQV zurückzuweisen ist (Art. 61 Abs. 1 VwVG). Die Einwendungen der Beschwerdeführerin gegen den von der Vorinstanz durchgeführten APV erweisen sich, soweit darauf einzutreten ist, als unbegründet.</w:t>
      </w:r>
    </w:p>
    <w:p>
      <w:r>
        <w:rPr>
          <w:b/>
        </w:rPr>
        <w:t>E. 9</w:t>
      </w:r>
    </w:p>
    <w:p>
      <w:r>
        <w:t>Zu befinden bleibt noch über die Verfahrenskosten und eine allfällige Parteientschädigung.</w:t>
      </w:r>
    </w:p>
    <w:p>
      <w:r>
        <w:rPr>
          <w:b/>
        </w:rPr>
        <w:t>E. 9.1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4'000.- festzusetzen.</w:t>
      </w:r>
    </w:p>
    <w:p>
      <w:r>
        <w:rPr>
          <w:b/>
        </w:rPr>
        <w:t>E. 9.2</w:t>
      </w:r>
    </w:p>
    <w:p>
      <w:r>
        <w:t>Eine Rückweisung gilt praxisgemäss als Obsiegen der beschwerde­führenden Partei (vgl. BGE 137 V 57 E. 2.1 m.H.),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9.3</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Die Entschädigung wird der Körperschaft oder autonomen Anstalt auferlegt, in deren Namen die Vorinstanz verfügt hat, soweit sie nicht einer unterliegenden Gegenpartei auferlegt werden kann (Art. 64 Abs. 2 VwVG).</w:t>
      </w:r>
    </w:p>
    <w:p>
      <w:r>
        <w:rPr>
          <w:b/>
        </w:rPr>
        <w:t>E. 9.4</w:t>
      </w:r>
    </w:p>
    <w:p>
      <w:r>
        <w:t>Da keine Kostennote eingereicht wurde, ist die Entschädigung auf­grund der Akten festzusetzen (Art. 14 Abs. 2 Satz 2 VGKE). Vorliegend bestand der Aufwand der Beschwerdeführerin im Wesentlichen in der Erstellung der 13-seitigen Beschwerdeschrift vom 22. Oktober 2014 (BVGer-act. 1), der 10-seitigen Replik vom 4. Juni 2015 (BVGer-act. 18) sowie der 3-seitigen Spontaneingabe vom 5. Oktober 2015 (BVGer-act. 26). Unter Berücksichtigung des Verfahrensausgangs (Durchdringen insofern als eine einzig gestützt auf den APV angeordnete Preissenkung vorliegend unzulässig ist, nicht jedoch mit den gegen die konkrete Durchführung des APV vorgebrachten Rügen), des gebotenen und aktenkundigen Aufwands, der Bedeutung der Streitsache (welche vorliegend in Anbetracht zahlreicher weiterer Fälle zur gleichen Problematik vor Bundesverwaltungsgericht als solche keine ausserordentliche Bedeutung aufweist, die im Kostenpunkt gesondert zu berücksichtigen wäre) und der Schwierigkeit des vorliegend zu beurteilenden Ver­fahrens erscheint die Festsetzung einer Parteientschädigung in der Höhe von Fr. 4'000.- (inkl. Auslagen und Mehrwertsteuer; Art. 9 Abs. 1 in Ver­bindung mit Art. 10 Abs. 2 VGKE) zu Lasten der Vorinstanz als ange­messen. Die Vorinstanz hat keinen Anspruch auf eine Parteientschädi­gung (Art. 7 Abs. 3 VGKE). (Dispositiv auf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