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C-6147/2018 vom 14. April 2020</w:t>
      </w:r>
    </w:p>
    <w:p>
      <w:r>
        <w:t>Bundesverwaltungsgericht, 2020-04-14, DE</w:t>
      </w:r>
    </w:p>
    <w:p>
      <w:r>
        <w:rPr>
          <w:b/>
        </w:rPr>
        <w:t xml:space="preserve">Quelle: </w:t>
      </w:r>
      <w:r>
        <w:t>https://mcp.opencaselaw.ch/entscheid/bvger_C-6147_2018</w:t>
      </w:r>
    </w:p>
    <w:p>
      <w:r>
        <w:t>FR: TAF C-6147/2018 du 14 avril 2020</w:t>
      </w:r>
    </w:p>
    <w:p>
      <w:r>
        <w:t>IT: TAF C-6147/2018 del 14 aprile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die Beschwerdeführerin den ihr auferlegten Kostenvorschuss fristgerecht überwiesen hat (BVGer act. 4), ist auf die frist- und formgerecht eingereichte Beschwerde einzutreten (Art. 50 Abs. 1 und Art. 52 Abs. 1 VwVG; Art. 60 ATSG).</w:t>
      </w:r>
    </w:p>
    <w:p>
      <w:r>
        <w:rPr>
          <w:b/>
        </w:rPr>
        <w:t>E. 2</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 (hier: 24. September 2018)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9C_24/2008 vom 27. Mai 2008 E. 2.3.1).</w:t>
      </w:r>
    </w:p>
    <w:p>
      <w:r>
        <w:rPr>
          <w:b/>
        </w:rPr>
        <w:t>E. 3</w:t>
      </w:r>
    </w:p>
    <w:p>
      <w:r>
        <w:t>Zu prüfen ist vorab in formeller Hinsicht, ob die Vorinstanz mit dem Erlass der angefochtenen Verfügung ihrer Begründungspflicht hinreichend nachgekommen ist.</w:t>
      </w:r>
    </w:p>
    <w:p>
      <w:r>
        <w:rPr>
          <w:b/>
        </w:rPr>
        <w:t>E. 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Die Begründungspflicht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Urteil des BGer 9C_257/2011 vom 25. August 2011 E. 5.1, je mit Hinweisen).</w:t>
      </w:r>
    </w:p>
    <w:p>
      <w:r>
        <w:rPr>
          <w:b/>
        </w:rPr>
        <w:t>E. 3.2</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(Art. 73ter Abs. 1 IVV; SR 831.201). Der Sinn und Zweck des Vorbescheidverfahrens besteht darin, eine unkomplizierte Diskussion des Sachverhalts zu ermöglichen und dadurch die Akzeptanz des Entscheids bei den Versicherten zu verbessern und die Gerichte zu entlasten (BGE 134 V 97 E. 2.7 S. 106; vgl. dazu auch Botschaft betreffend die Änderung des Bundesgesetzes über die Invalidenversicherung [Massnahmen zur Verfahrensstraffung vom 4. Mai 2005], BBl 2005 S. 3079 ff., insbesondere 3084 f.). Die IV-Stelle hat zum Einwand kurz Stellung zu nehmen. Sie darf sich nicht darauf beschränken, die vom Versicherten vorgebrachten Einwände tatsächlich zur Kenntnis zu nehmen und zu prüfen, sondern sie hat ihre Überlegungen dem Betroffenen gegenüber auch namhaft zu machen und sich auch ausdrücklich mit den entscheidwesentlichen Einwänden auseinanderzusetzen, oder aber zumindest die Gründe anzugeben, weshalb sie gewisse Gesichtspunkte nicht berücksichtigen kann (Urteil des BGer 8C_177/2015 vom 14. Oktober 2015 E. 3.1; vgl. dazu auch Art. 74 Abs. 2 IVV). Das Vorbescheidverfahren geht mithin über den verfassungsrechtlichen Mindestanspruch auf rechtliches Gehör (Art. 29 Abs. 2 BV) hinaus, indem es Gelegenheit gibt, sich nicht nur zur Sache, sondern auch zum vorgesehenen Endentscheid zu äussern (BGE 142 V 380 E. 5.3 S. 387 mit Hinweis auf BGE 134 V 97 E. 2.8.2 S. 107 und Urteil 9C_617/2009 vom 15. Januar 2010 E. 2.1). Mit Blick auf die Funktion des Vorbescheidverfahrens (Dialog zwischen IV-Stelle und versicherter Person sowie deren Einbezug in die Ermittlung des rechtserheblichen Sachverhalts, Verbesserung der Akzeptanz der Entscheide) sind an die Begründungspflicht erhöhte Anforderungen zu stellen (vgl. Urteile des BVGer C-4400/2014 vom 26. Mai 2016 E. 3.2.1; C-3862/2014 vom 19. November 2015 E. 2.2).</w:t>
      </w:r>
    </w:p>
    <w:p>
      <w:r>
        <w:rPr>
          <w:b/>
        </w:rPr>
        <w:t>E. 3.3</w:t>
      </w:r>
    </w:p>
    <w:p>
      <w:r>
        <w:t>Wie vorstehend (Sachverhalt, Bst. B.c hievor) dargelegt, hat die Beschwerdeführerin mit Eingabe vom 30. Juli 2018 gegen den Vorbescheid vom 5. Juli 2018 Einwand erhoben und in diesem Zusammenhang zwei neue Arztberichte (Austrittsbericht der C._______ Klinik vom 1. Dezember 2017; Bericht von Dr. med. D._______ vom 18. Oktober 2016) ins Recht gelegt und gleichzeitig die fehlende Berücksichtigung dieser medizinischen Beweismittel gerügt (act. 97, S. 2 - 11). Mit Recht wendet die Beschwerdeführerin ein, dass die Vorinstanz in der angefochtenen Verfügung mit keinem Wort auf ihre Rügen eingegangen ist. Indem sie ungeachtet des Einwandes der Beschwerdeführerin eine mit dem Vorbescheid vollkommen identische Verfügung erlassen hat, hat sie deren Gehörsanspruch verletzt (Michel Valterio, Commentaire de la loi fédérale sur l'assurance-invalidité [LAI], Genève/Zurich, 2018, Art. 57a N. 9 mit Hinweisen auf die bundesgerichtliche Rechtsprechung). Denn mit Blick auf den genannten Zweck des Vorbescheidverfahrens sind an die Begründungsdichte der in diesem Verfahren erlassenen Verfügungen erhöhte Anforderungen zu stellen, so dass die Vorinstanz zumindest kurz hätte darlegen müssen, aus welchen Gründen sie in antizipierter Beweiswürdigung von weiteren Abklärungen, insbesondere einer versicherungsinternen Würdigung der neu eingereichten medizinischen Beweismittel durch den RAD der IV-Stelle respektive einer Rückfrage an den Gutachter, abgesehen hat. Eine Rückfrage beim Gutachter respektive beim RAD der IV-Stelle wäre im vorliegenden Fall umso mehr angezeigt gewesen, als der Gutachter den (mit Einwand vom 30. Juli 2018 eingereichten) Austrittsbericht der C._______ Klinik anfänglich noch selber angefordert hat (vgl. Gutachten, S. 2 [Fn. 3]), bevor er das Gutachten in der Folge ohne Würdigung dieses (im Zeitpunkt der Erstellung noch ausstehenden) Berichts vorgenommen hat. Die entsprechende Unterlassung der Vorinstanz begründet eine schwere Verletzung des Gehörsanspruchs.</w:t>
      </w:r>
    </w:p>
    <w:p>
      <w:r>
        <w:rPr>
          <w:b/>
        </w:rPr>
        <w:t>E. 3.4</w:t>
      </w:r>
    </w:p>
    <w:p>
      <w:r>
        <w:t>Eine Verletzung des Anspruchs auf rechtliches Gehör führt grundsätzlich ungeachtet der Erfolgsaussichten der Beschwerde in der Sache selbst zur Aufhebung der angefochtenen Verfügung (BGE 132 V 387 E. 5.1; Waldmann/Bickel, in: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kann indes auch bei einer schwerwiegenden Verletzung des rechtlichen Gehörs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136 V 117 E. 4.2.2.2 S. 126 f.; 126 V 130 E. 2b; SVR 2013 IV Nr. 26 S. 76 E. 4.2). Mit Blick auf die vollständig fehlende Auseinandersetzung mit den im Vorbescheidverfahren vorgebrachten Rügen und eingereichten Beweismittel ist die Gehörsverletzung als schwerwiegend einzustufen. Wie nachfolgend (E. 7 und 8) darzulegen ist, ist die Streitsache vorliegend auch aus materiell-rechtlichen Gründen aufzuheben. Eine blosse Rückweisung an die IVSTA zur Gewährung des rechtlichen Gehörs würde zu einem formalistischen Leerlauf führen und stünde darüber hinaus auch im Widerspruch zum klar zum Ausdruck gebrachten Interesse der Beschwerdeführerin an einer zeitnahen und umfassenden Abklärung des medizinischen Sachverhalts.</w:t>
      </w:r>
    </w:p>
    <w:p>
      <w:r>
        <w:rPr>
          <w:b/>
        </w:rPr>
        <w:t>E. 4</w:t>
      </w:r>
    </w:p>
    <w:p>
      <w:r>
        <w:t>Wie nachfolgend darzulegen ist, ist die Streitsache aus materiellen Gründen zur weiteren Abklärung an die Vorinstanz zurückzuweisen. Zunächst sind im Folgenden die gesetzlichen Grundlagen sowie massgebenden Grundsätze der Rechtsprechung darzulegen.</w:t>
      </w:r>
    </w:p>
    <w:p>
      <w:r>
        <w:rPr>
          <w:b/>
        </w:rPr>
        <w:t>E. 4.1</w:t>
      </w:r>
    </w:p>
    <w:p>
      <w:r>
        <w:t>Die Beschwerdeführerin ist deutsche Staatsangehörige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Mit Blick auf den Verfügungszeitpunkt (24. September 2018)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4.2</w:t>
      </w:r>
    </w:p>
    <w:p>
      <w:r>
        <w:t>Das Vorliegen einer anspruchserheblichen Invalidität beurteilt sich auch im Anwendungsbereich des FZA und er hierzu erlassenen Koordinierungsbestimmungen nach schweizerischem Recht (vgl. BGE 130 V 253 E. 2.4; Basile Cardinaux, § 7 Beweiserhebung im Ausland, in: Recht der Sozialen Sicherheit, 2014, S. 281 Rz. 7.23; Urteile des BVGer C-2816/2014 vom 12. Februar 2016 E. 2.1 und C-5263/2014 vom 6. Juli 2016 E. 2, je mit Hinweisen).</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Ausschlaggebend für den Beweiswert ist grundsätzlich somit weder die Herkunft eines Beweismittels noch die Bezeichnung der eingereichten oder in Auftrag gegebenen Stellungnahme als Bericht oder Gutachten, sondern dessen Inhalt (BGE 134 V 231 E. 5.1, 125 V 351 E. 3a; RKUV 2003 U 487 S. 345 E. 5.1).</w:t>
      </w:r>
    </w:p>
    <w:p>
      <w:r>
        <w:rPr>
          <w:b/>
        </w:rPr>
        <w:t>E. 4.8</w:t>
      </w:r>
    </w:p>
    <w:p>
      <w:r>
        <w:t>Geht es um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Die Vorinstanz hat in der angefochtenen Verfügung ausgeführt, dass gemäss Gutachten vom 28. März 2018 keine Diagnosen mit Auswirkung auf die Arbeitsfähigkeit vorlägen. Laut den Schlussfolgerungen des Gutachters sei die in den Akten erwähnte Erschöpfungsproblematik einer Neurasthenie zuzuordnen, welche zum gegenwärtigen Zeitpunkt noch nicht austherapiert sei. Der Gutachter habe diesem Leiden keine Schwere zugeordnet, welche zu einer relevanten und dauerhaften Einschränkung der Arbeitsfähigkeit führen könnte.</w:t>
      </w:r>
    </w:p>
    <w:p>
      <w:r>
        <w:rPr>
          <w:b/>
        </w:rPr>
        <w:t>E. 5.1</w:t>
      </w:r>
    </w:p>
    <w:p>
      <w:r>
        <w:t>Die Beschwerdeführerin macht geltend, der von der IV-Stelle mit der Abklärung beauftragte psychiatrische Gutachter habe nicht über alle relevanten Akten verfügt. Insbesondere habe ihm der Bericht der C._______ Klinik nicht vorgelegen, und die Vorinstanz habe auch die Akten der Krankentaggeldversicherung nicht beigezogen. Zudem habe sich der Gutachter während der weniger als eine Stunde dauernden Exploration auch nicht wirklich persönlich mit ihr befasst, sondern sie vielmehr dazu angehalten, mehr als 300 Fragen an einem Personal Computer auszufüllen. Ferner habe es die Vorinstanz zu Unrecht auch unterlassen, berufliche Massnahmen zu prüfen.</w:t>
      </w:r>
    </w:p>
    <w:p>
      <w:r>
        <w:rPr>
          <w:b/>
        </w:rPr>
        <w:t>E. 5.2</w:t>
      </w:r>
    </w:p>
    <w:p>
      <w:r>
        <w:t>Dagegen wendet die Vorinstanz ein, entgegen der unzutreffenden Behauptung der Beschwerdeführerin habe sie die Akten der Krankentaggeldversicherung beigezogen und gewürdigt. Die Berichte der behandelnden Ärzte seien im Rahmen der Begutachtung und auch durch den RAD gewürdigt und beurteilt worden. Die beschwerdeweise geltend gemachte Forderung nach weiteren medizinischen Abklärungen sei unbegründet und finde in den Akten keine Stütze. Auch die im weiteren Verlauf des vorinstanzlichen Verfahrens eingereichten Arztberichte der C._______ Klinik vom 1. Dezember 2017 und der Bericht der behandelnden Ärztin Dr. med. E._______ vom 18. September 2018 seien von ihr noch gewürdigt worden (BVGer act. 6 samt Beilage).</w:t>
      </w:r>
    </w:p>
    <w:p>
      <w:r>
        <w:rPr>
          <w:b/>
        </w:rPr>
        <w:t>E. 5.3</w:t>
      </w:r>
    </w:p>
    <w:p>
      <w:r>
        <w:t>Replicando bringt die Beschwerdeführerin vor, entgegen der Argumentation der Vorinstanz gehe aus der angefochtenen Verfügung nicht hervor, inwiefern sie sich mit den nach Erlass des Vorbescheids eingereichten Akten auseinandergesetzt habe. Zwar seien die Akten der Krankentaggeldversicherung - entgegen ihrer ursprünglichen Vermutung - von der IV-Stelle beigezogen worden. Allerdings seien die medizinischen Akten nicht gewürdigt worden. Angesichts der offensichtlichen Widersprüche zwischen dem Gutachten auf der einen und den Berichten der behandelnden Ärzte auf der anderen Seite hätte sich die Vorinstanz in der angefochtenen Verfügung zwingend damit auseinandersetzen müssen. Ungeachtet der neu vorgebrachten medizinischen Beweismittel sei auf die Einholung einer ergänzenden Begutachtung verzichtet worden. Aufgrund der Schlussfolgerungen der behandelnden Ärzte hätte die Vorinstanz weitere Abklärungen veranlassen und zu den bestehenden Widersprüchen Stellung nehmen müssen (BVGer act. 10).</w:t>
      </w:r>
    </w:p>
    <w:p>
      <w:r>
        <w:rPr>
          <w:b/>
        </w:rPr>
        <w:t>E. 5.4</w:t>
      </w:r>
    </w:p>
    <w:p>
      <w:r>
        <w:t>In ihrer Duplik vom 20. Februar 2019 hält die Vorinstanz an ihren bisherigen Anträgen und der entsprechenden Begründung fest (BVGer act. 12).</w:t>
      </w:r>
    </w:p>
    <w:p>
      <w:r>
        <w:rPr>
          <w:b/>
        </w:rPr>
        <w:t>E. 6</w:t>
      </w:r>
    </w:p>
    <w:p>
      <w:r>
        <w:t>Die Verfügung vom 24. September 2018 beruht auf der Annahme, dass bei der Beschwerdeführerin keine Diagnose mit Auswirkung auf die Arbeitsfähigkeit vorliege, weil die vom Gutachter diagnostizierte Neurasthenie keiner Diagnose mit Auswirkung auf die Arbeitsfähigkeit zuzuordnen sei. Die Schlussfolgerung der Vorinstanz basiert im Wesentlichen auf den folgenden medizinischen Berichten und Gutachten:</w:t>
      </w:r>
    </w:p>
    <w:p>
      <w:r>
        <w:rPr>
          <w:b/>
        </w:rPr>
        <w:t>E. 6.1</w:t>
      </w:r>
    </w:p>
    <w:p>
      <w:r>
        <w:t>Dr. med. D._______, Kardiologe und Facharzt für Innere Medizin, kam in seinem Bericht vom 18. Oktober 2016 zum Schluss, dass aus internistischer Sicht keine wegweisenden pathologischen Befunde vorlägen, welche die aktuelle Beschwerdesymptomatik erklären könnten (act. 97, S. 10 f.).</w:t>
      </w:r>
    </w:p>
    <w:p>
      <w:r>
        <w:rPr>
          <w:b/>
        </w:rPr>
        <w:t>E. 6.2</w:t>
      </w:r>
    </w:p>
    <w:p>
      <w:r>
        <w:t>Mit Bericht vom 18. April 2017 führte die behandelnde Ärztin, Dr. med. F._______, insbesondere aus, dass bei der Beschwerdeführerin seit Sommer 2016 eine Depression, verbunden mit massiven Ängsten und Gewichtsabnahme, Antriebsarmut, niedergeschlagener Stimmung und Erschöpfung, habe diagnostiziert werden müssen. Die gegenwärtige Behandlung umfasse sowohl psychotherapeutische Gespräche als auch eine antidepressive Medikation (Escitalopram 20 mg und Mirtazapin 15 mg). Seit dem 21. September 2016 bestehe eine Arbeitsunfähigkeit von 100 % (act. 56).</w:t>
      </w:r>
    </w:p>
    <w:p>
      <w:r>
        <w:rPr>
          <w:b/>
        </w:rPr>
        <w:t>E. 6.3</w:t>
      </w:r>
    </w:p>
    <w:p>
      <w:r>
        <w:t>Dr. med. G._______, Facharzt für Allgemeinmedizin und für Frauenheilkunde sowie Geburtshilfe sowie zertifizierter medizinischer Gutachter SIM beim Regionalen Ärztlichen Dienst (RAD) der IV-Stelle, führte in seinem Bericht vom 3. August 2018 aus, dass laut den Akten ein invasiv-duktales Mammakarzinom, bei Zustand nach präoperativer Chemotherapie, brusterhaltender Operation und Radiatio, sowie eine mit Angst verbundene Depression zu diagnostizieren seien. Nachdem bezüglich der Tumorerkrankungen seit 1. Mai 2015 eine nachvollziehbare Arbeitsunfähigkeit von nur noch 20 % attestiert worden sei, bestehe nach einem Zusammenbruch seit 22. September 2016 wieder eine Arbeitsunfähigkeit von 100 %. Zusammengefasst sei versicherungsmedizinisch festzuhalten, dass mit dem Mammakarzinom ein lang andauernder Gesundheitsschaden mit Krankheitswert vorliege, der nachvollziehbar zunächst eine volle Arbeitsunfähigkeit vom 13. Januar 2014 bis 28. Februar 2015, eine Arbeitsunfähigkeit von 50 % vom 1. März 2015 bis 30. April 2015 sowie eine solche von 20 % seit dem 1. Mai 2015 begründe. Die ab September 2016 wiederum attestierte volle Arbeitsunfähigkeit sei aufgrund der Akten nicht genau nachvollziehbar, und fachärztliche psychiatrische Berichte lägen derzeit nicht vor, so dass weitere Abklärungen notwendig seien (act. 68).</w:t>
      </w:r>
    </w:p>
    <w:p>
      <w:r>
        <w:rPr>
          <w:b/>
        </w:rPr>
        <w:t>E. 6.4</w:t>
      </w:r>
    </w:p>
    <w:p>
      <w:r>
        <w:t>Dr. med. F._______ hielt in einem weiteren, zuhanden der Krankentaggeldversicherung erstatteten Bericht vom 27. Juni 2017 fest, dass neben dem Mammakarzinom (ICD-10 C 50.9g) auch eine schwere Depression (ICD-10 F 32.2g) attestiert worden sei. Derzeit erfolge neben einer psychotherapeutischen Behandlung auch eine psychopharmakologische Medikation (Escitalopram: 20 mg pro Tag; Mirtazapin: 15 mg pro Tag). Die Beschwerdeführerin unternehme seit April 2017 einen Arbeitsversuch im Umfang von 3 × 3 Stunden pro Woche; eine Steigerung sei bisher nicht möglich gewesen (act. 75).</w:t>
      </w:r>
    </w:p>
    <w:p>
      <w:r>
        <w:rPr>
          <w:b/>
        </w:rPr>
        <w:t>E. 6.5</w:t>
      </w:r>
    </w:p>
    <w:p>
      <w:r>
        <w:t>RAD-Arzt Dr. med. G._______ hielt in seinem Bericht vom 2. November 2017 insbesondere fest, dass die Krankentaggeldversicherung weiterhin Leistungen aufgrund einer Arbeitsunfähigkeit von 100 % ausrichte. Für ihn sei weiterhin unklar, ob die attestierte Arbeitsunfähigkeit aus psychiatrischer Sicht im angegebenen Umfang medizinisch begründet sei. Zur Abklärung dieser Frage erscheine eine psychiatrische Begutachtung notwendig (act. 78).</w:t>
      </w:r>
    </w:p>
    <w:p>
      <w:r>
        <w:rPr>
          <w:b/>
        </w:rPr>
        <w:t>E. 6.6</w:t>
      </w:r>
    </w:p>
    <w:p>
      <w:r>
        <w:t>Im Anschluss an eine teilstationäre Behandlung in der C._______ Klinik in H._______/DE in der Zeit vom 4. Oktober 2017 bis 18. November 2017 hielten Dr. med. E._______, Fachärztin für psychosomatische Medizin und Psychosomatik sowie Fachärztin für Neurologie und Psychiatrie, sowie Dr. med. E._______ als Diagnosen eine schwere depressive Episode ohne psychotische Symptome (ICD-10 F 32.2), eine Panikstörung (ICD-10 F 41.0), eine bösartige Neubildung der Brustdrüse in der Eigenanamnese (ICD-10 Z 85.3) sowie einen Kopfschmerz (ICD-10 R 51) fest. Als psychische Befunde erhoben sie eine hagere, erschöpfte und kraftlos wirkende Patientin mit blassem Hautkolorit, welche in der Grundstimmung depressiv, verzweifelt und immer wieder den Tränen nahe sei. Psychomotorisch wirke sie matt und im zielgerichteten Antrieb sei sie vermindert. In klinischer Hinsicht stellten die behandelnden Ärzte einen schwergradig ausgeprägten depressiven Verstimmungszustand fest, der zusätzlich überlagert sei durch ein Fatigue-Syndrom bei dramatisch erlebter Krebserkrankung mit Operation sowie Chemo- und Radiotherapie im Jahr 2014. Nachdem die ambulante Therapie mit Antidepressiva und stützenden psychotherapeutischen Gesprächen nicht den gewünschten Erfolg erbracht hätte und es am Arbeitsplatz zu fortschreitender Leistungsminderung gekommen sei, sei eine tagesklinische Behandlung notwendig geworden. Die Schwere der Erkrankung habe eine antidepressive Behandlung mit Escitalopram und Mirtazapin erforderlich gemacht. Eine Aufdosierung der bisherigen Medikation habe wegen unerwünschter Nebenwirkungen wieder revidiert werden müssen. Insgesamt habe durch die tagesklinische Behandlung nur eine mässige Besserung erreicht werden können. Insbesondere sei weiterhin bei jeglicher Anforderung (zum Beispiel massvolle sportliche Aktivität) die äusserst geringe Belastbarkeit der Patientin deutlich geworden. Vor diesem Hintergrund hätten sie eine Fortsetzung der Wiedereingliederungsmassnahme am Arbeitsplatz derzeit nicht befürworten können. Eine Fortsetzung der ambulanten Psychotherapie wie auch die Weiterführung der antidepressiven Medikation sei dringend erforderlich (act. 97, S. 3 - 9).</w:t>
      </w:r>
    </w:p>
    <w:p>
      <w:r>
        <w:rPr>
          <w:b/>
        </w:rPr>
        <w:t>E. 6.7</w:t>
      </w:r>
    </w:p>
    <w:p>
      <w:r>
        <w:t>Der von der IV-Stelle mit der Abklärung beauftragte psychiatrische Gutachter, Dr. med. H._______, diagnostizierte in seinem Gutachten vom 28. März 2018 eine Neurasthenie (ICD-10 F 48.0) mit rezidivierender, ängstlich-deprimierter Verstimmung, bei Status nach Mammakarzinom und bei akzentuierten (leistungsorientierten, emotional expressiven/histrionischen) Persönlichkeitszügen (ICD-10 Z 73.1). In seiner zusammenfassenden Beurteilung kam er zum Schluss, dass mit der Neurasthenie die in den Akten beschriebenen Einschränkungen (Erschöpfung, Schlafstörungen, Antriebsarmut, Mutlosigkeit, Konzentrationsstörungen, Müdigkeit und ängstlich-deprimierte Verstimmung, verminderte Belastbarkeit, vermindertes Durchhaltevermögen) weitgehend erfasst würden. In den Akten seien nach September 2016 unregelmässig ausgeprägte depressive Syndrome aufgeführt. Die Kriterien für die Annahme einer eigenständigen depressiven Episode nach ICD-10 seien allerdings nicht erfüllt. Der Schweregrad erreiche nicht das notwendige Ausmass. Keine der genannten Symptome hätten in ausreichender Schwere beziehungsweise in ausreichender Länge bestanden, um eine lang andauernde depressive Episode zumindest leichten Grades diagnostizieren zu können. Auch derzeit bestünden keine hinreichenden Symptome in ausreichender Schwere respektive Länge. Es fehlten für die Kategorie nach ICD-10 F 32 bereits die Eingangskriterien der dauerhaften (objektiven) Hemmung der Psychomotorik und der wesentlichen Verminderung der affektiven Schwingungsfähigkeit. Die angegebene ängstlich-deprimierte Verstimmung erkläre sich vollständig als Teil einer Neurasthenie sowie durch soziale Faktoren (beispielsweise Krankheit des Ehemannes und finanzielle Sorgen) und begründe für sich allein keine depressive Episode im Sinne der ICD-10 (Gutachten, S. 17 - 21). Aus versicherungspsychiatrischer Sicht sei die Limitierung des Aktivitätenniveaus (Vergleich zur Situation vor Eintritt der Gesundheitsschädigung) durch die versicherte Person in allen vergleichbaren Lebensbereichen weit überwiegend durch ihre Selbsteinschätzung zu begründen. Eine Willensanstrengung zur Bewältigung dieser rein subjektiven Defizite sei aus psychiatrisch-psychotherapeutischer Sicht tatsächlich möglich und medizinisch zumutbar. Aus psychiatrisch-psychotherapeutischer Sicht relevante Behandlungsmassnahmen seien ab September 2016 genannt und teilweise dokumentiert (ambulante Therapie und Psychopharmakatherapie). Aktuell werde keine Psychopharmakatherapie wahrgenommen. Neben der Neurasthenie könne keine psychisch ausgewiesene, erheblich schwere, ausgeprägte, dauerhafte und intensive Komorbidität aus rein psychiatrisch-psychotherapeutischer Sicht begründet werden. Auch in den Akten werde insbesondere keine Pathologie der Persönlichkeit beschrieben, welche allfällig über das Ausmass von akzentuierten Persönlichkeitszügen hinausgehe; dies könne anlässlich der aktuellen Untersuchung bestätigt werden. Der soziale Kontakt sei objektiv und subjektiv geordnet, und es bestehe eine gute Tagesstruktur, wobei die versicherte Person regelmässig soziale Kontakte (Verwandte, Facebook, Wahrnehmen von Terminen) pflege. Sie nenne überdies ein soziales Interesse und die Fähigkeit, mit entsprechender Anstrengung ihre innerseelischen Defizite zu bewältigen. Sie führe therapeutische Übungen aus. Beim Verlauf der Störung seien eine Verdeutlichungstendenz (demonstrativ elegische Selbstdarstellung, teilweise zögerliche, ausreichende, pauschale, oberflächliche, allgemein vage Angaben) sowie weitere nicht krankheitsbedingte Faktoren (Lebensalter, Lage am Arbeitsmarkt, finanzielle Sorgen, Krankheit des Ehemannes) zu nennen. Diese Faktoren könnten nicht in die versicherungspsychiatrische Beurteilung der medizinisch-theoretischen Zumutbarkeit einer allfälligen Tätigkeit mit einfliessen. Eine relevante (mindestens 20 % von 100 %) längerfristige Arbeitsunfähigkeit sei als versicherungspsychiatrischer Sicht somit nicht zu begründen. Auf diese Beurteilung könne mit Sicherheit ab dem Datum der aktuellen Untersuchung vom 21. Februar 2018 abgestellt werden. Mit überwiegender Wahrscheinlichkeit sei bereits ab September 2016 von dieser Einschätzung auszugehen. Die Postulate zur Arbeitsunfähigkeit, welche darüber hinaus gingen, seien jeweils nicht kritisch differenziert nachvollziehbar. Die Einschätzungen seien vielmehr als persönliche Meinungen der behandelnden Fachperson zur Kenntnis zu nehmen und könnten aus versicherungspsychiatrischer Sicht nicht bestätigt werden (Gutachten, S. 22 - 28). Eingliederungsmassnahmen seien in Form eines von der versicherten Person im Jahr 2017 selbst durchgeführten Arbeitsversuchs bekannt. Aus versicherungspsychiatrischer Sicht seien sie weiterhin möglich und zumutbar. Anlässlich der persönlichen Untersuchung durch den Gutachter seien die objektivierbaren psychopathologischen Befunde gering ausgeprägt gewesen, und es sei eine Verdeutlichungstendenz (demonstrativ elegische Selbstdarstellung) erkennbar (Gutachten, S. 28 f.). &lt;</w:t>
      </w:r>
    </w:p>
    <w:p>
      <w:r>
        <w:rPr>
          <w:b/>
        </w:rPr>
        <w:t>E. 6.8</w:t>
      </w:r>
    </w:p>
    <w:p>
      <w:r>
        <w:t>Dr. med. E._______ nahm mit Bericht vom 22. September 2018 dahingehend zum Gutachten Stellung, dass sich die Beschwerdeführerin seit September 2017 in ihrer regelmässigen fachärztlichen Behandlung befinde. Den im Gutachten vorgenommenen diagnostischen Einschätzungen müsse entschieden widersprochen werden. Mit Blick auf das stets sehr hohe Engagement der Beschwerdeführerin in ihrer beruflichen Tätigkeit und ihr sehr erfolgreiches Wirken in einem komplexen Arbeitsbereich wie der Informatik sowie das Fehlen von krankheitsbedingten Absenzen bis zum Zeitpunkt der Krebserkrankung könne bei der Beschwerdeführerin in keiner Form von einer Affinität zu neurasthenischen Zuständen ausgegangen werden. Die erhobenen Befunde, namentlich die Interessen- und Freudlosigkeit auch gegenüber angenehmen Aktivitäten, die gesteigerte Ermüdbarkeit und Antriebslosigkeit, der Verlust des Selbstwertgefühls, unbegründete Selbstvorwürfe, vermindertes Konzentrationsvermögen sowie die stark reduzierte Entscheidungsfähigkeit wie auch die psychomotorische Hemmung und die Schlafstörungen, seien im Wesentlichen unbeeinflusst von äusseren Umständen (act. 103, S. 2 f.).</w:t>
      </w:r>
    </w:p>
    <w:p>
      <w:r>
        <w:rPr>
          <w:b/>
        </w:rPr>
        <w:t>E. 7</w:t>
      </w:r>
    </w:p>
    <w:p>
      <w:r>
        <w:t>Die Vorinstanz vertritt die Auffassung, dass die Beschwerdeführerin sowohl in ihrer angestammten als auch in einer angepassten Verweistätigkeit zu 100 % arbeitsfähig sei. Umstritten und zu prüfen ist, ob sie zu Recht davon ausgeht, dass der Beschwerdeführerin eine solche Leistungsfähigkeit attestiert werden kann und ob sich der medizinische Sachverhalt in dieser Hinsicht als genügend abgeklärt erweist.</w:t>
      </w:r>
    </w:p>
    <w:p>
      <w:r>
        <w:rPr>
          <w:b/>
        </w:rPr>
        <w:t>E. 7.1</w:t>
      </w:r>
    </w:p>
    <w:p>
      <w:r>
        <w:t>Vorliegend steht fest, dass dem Gutachter bis zum Zeitpunkt der Erstellung seines Gutachtens weder ein aktueller Verlaufsbericht noch der (von ihm selber noch am 21. Februar 2018) bei der behandelnden Psychiaterin Dr. med. E._______ angefragte Austrittsbericht der C._______ Tagesklinik vorlagen. Nach der konstanten Rechtsprechung ist eine Expertise, welche die medizinischen Vorakten nur unzureichend berücksichtigt, unvollständig und es fehlt ihm die erforderliche Überzeugungs- und Beweiskraft selbst dann, wenn die Schlüsse, welche die Experten auf der Grundlage der von ihnen selbst erhobenen Befunde gezogen haben, an sich einleuchten und nachvollziehbar sind (Urteil des Bundesgerichts 8C_861/2009 vom 20. April 2010 E. 3.1 m.H.; vgl. dazu auch Gabriela Riemer-Kafka, Versicherungsmedizinische Gutachten, 3. Aufl. 2017, S. 42 f.). Vorliegend wurden die genannten Berichte im psychiatrischen Gutachten nicht gewürdigt, obwohl der Gutachter diese zunächst offenbar selber als für die Beurteilung relevant eingestuft hat. Basiert das Gutachten - wie hier - nicht auf der Kenntnis der gesamten Vorakten, wird es formell den durch die Rechtsprechung entwickelten Kriterien nicht gerecht. Der Untersuchungsbefund muss vielmehr lückenlos vorliegen (Urteil des BGer 8C_736/2008 vom 4. Juni 2009 E. 9.1). Das Gutachten erweist sich demnach bereits unter diesem Aspekt als unvollständig und nicht beweiskräftig.</w:t>
      </w:r>
    </w:p>
    <w:p>
      <w:r>
        <w:rPr>
          <w:b/>
        </w:rPr>
        <w:t>E. 7.2</w:t>
      </w:r>
    </w:p>
    <w:p>
      <w:r>
        <w:t>Zwar ist externen Beurteilungen, welche nach Art. 44 ATSG im Verwaltungsverfahren eingeholt wurden, bei überzeugendem Beweisergebnis volle Beweiskraft zuzuerkennen, solange nicht konkrete Indizien gegen die Zuverlässigkeit der Expertise sprechen (vgl. BGE 137 V 210 E. 1.3.4 S. 227; 125 V 351 E. 3b/bb S. 353). Insbesondere lässt es die unterschiedliche Natur von Behandlungsauftrag der therapeutisch tätigen (Fach-) Person einerseits und Begutachtungsauftrag des amtlich bestellten fachmedizinischen Experten anderseits (BGE 124 I 170 E. 4 S. 175) nicht zu, ein Administrativ- oder Gerichtsgutachten stets infrage zu stellen und zum Anlass weiterer Abklärungen zu nehmen, wenn die behandelnden Arztpersonen beziehungsweise Therapiekräfte zu anderslautenden Einschätzungen gelangen. Vorbehalten bleiben indes Fälle, in denen sich eine abweichende Beurteilung aufdrängt, weil diese wichtige - und nicht rein subjektiver Interpretation entspringende - Aspekte benennen, die bei der Begutachtung unerkannt oder ungewürdigt geblieben sind (Urteile des BGer 9C_547/2019 vom 14. Oktober 2019 E. 5.3 und 8C_835/2018 vom 23. April 2019 E. 3 mit Hinweis). Vorliegend fällt ins Gewicht, dass sich die Beschwerdeführerin in der Zeit vom 4. Oktober 2017 bis 18. November 2017, das heisst nur wenige Monate vor der hier zur Beurteilung stehenden Begutachtung, zur teilstationären Behandlung in der C._______ Klinik aufgehalten hat. Im entsprechenden Austrittsbericht vom 1. Dezember 2017 haben die verantwortlichen Fachärzte gestützt auf ihre klinische und testpsychologische Befunderhebung insbesondere eine Panikstörung (ICD-10 F 41.0) und eine schwere depressive Episode ohne psychotische Symptome bei Fatigue-Syndrom (ICD-10 F 32.2) diagnostiziert. Diese Beurteilung steht zudem im Einklang mit der von der behandelnden Hausärztin Dr. med. F._______ ab 21. September 2016 attestierten 100%igen Arbeitsunfähigkeit (act. 54, S. 6 - 8; 56; 76) und den gestützt darauf erbrachten Leistungen der Krankentaggeldversicherung (act. 74, S. 2; 78, S. 3). Wie vorstehend ausgeführt, konnte sich der Gutachter mit den abweichenden Diagnosen und Leistungsbeurteilungen der behandelnden Fachärzte gar nicht auseinandersetzen, da er die Expertise ohne diese Berichte ausgefertigt hat. Allerdings gehört es zur originären Aufgabe des Gutachters, sich differenziert mit den - allenfalls abweichenden - Einschätzungen der behandelnden Ärzte auseinanderzusetzen (Riemer-Kafka, a.a.O., S. 38 und 59). Die (hier fehlende) Auseinandersetzung mit Berichten, welche von der gutachterlichen Schlussfolgerung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Urteil des BGer 9C_986/2009 vom 11. November 2010 E. 4.5.2; BGE 125 V 352 E. 3a S. 352). Auch unter diesem Gesichtspunkt erweisen sich die medizinischen Abklärungen der Vorinstanz als ungenügend.</w:t>
      </w:r>
    </w:p>
    <w:p>
      <w:r>
        <w:rPr>
          <w:b/>
        </w:rPr>
        <w:t>E. 7.3</w:t>
      </w:r>
    </w:p>
    <w:p>
      <w:r>
        <w:t>Schliesslich steht die im Gutachten getroffene Feststellung, wonach mit überwiegender Wahrscheinlichkeit bereits ab September 2016 nicht von einer relevanten Arbeitsunfähigkeit auszugehen sei (Gutachten, S. 22; act. 88.1, S. 24) in einem ungeklärten Widerspruch zur Beurteilung der behandelnden Spezialisten. Der blosse Hinweis auf die fehlende kritische Differenzierung und die persönliche Meinung der behandelnden Fachperson (Gutachten, S. 22; act. 88.1, S. 24) erweist sich mit Blick auf die Notwendigkeit der umfassenden und kritischen versicherungsmedizinischen Beurteilung der von der eigenen Schlussfolgerung abweichenden Berichte als ungenügend.</w:t>
      </w:r>
    </w:p>
    <w:p>
      <w:r>
        <w:rPr>
          <w:b/>
        </w:rPr>
        <w:t>E. 7.4</w:t>
      </w:r>
    </w:p>
    <w:p>
      <w:r>
        <w:t>In Bezug auf die diagnostizierten akzentuierten Persönlichkeitszüge nach ICD-10 Z 73.1 (Gutachten, S. 15; act. 88.1, S. 17) wäre überdies eine Prüfung und detaillierte Beschreibung der Persönlichkeit und namentlich auch darüber notwendig gewesen, inwiefern die besondere Persönlichkeitsstruktur Rückschlüsse auf die Leistungsfähigkeit zulässt (vgl. hierzu BGE 141 V 281 E. 4.3.2; Qualitätsleitlinien für versicherungspsychiatrische Gutachten, 3. vollständig überarbeitete ergänzte Auflage, S. 17 f.). Auch diesem Erfordernis wird das Gutachten nicht gerecht.</w:t>
      </w:r>
    </w:p>
    <w:p>
      <w:r>
        <w:rPr>
          <w:b/>
        </w:rPr>
        <w:t>E. 7.5</w:t>
      </w:r>
    </w:p>
    <w:p>
      <w:r>
        <w:t>Damit fehlt es vorliegend an einer nachvollziehbaren Begründung für die angenommene Leistungsfähigkeit. Es liegt insbesondere keine verlässliche und schlüssige Grundlage zur Beurteilung von Art und Ausprägung der infrage stehenden Diagnosen, der Persönlichkeitszüge sowie der Leistungsfähigkeit vor. Daraus folgt, dass sich der gesundheitliche Zustand und insbesondere dessen Auswirkungen auf die Arbeits- und Leistungsfähigkeit unter Berücksichtigung der medizinischen Beweismittel, wie sie der Vorinstanz im Zeitpunkt der angefochtenen Verfügung vom 24. September 2018 vorlagen, nicht schlüssig beurteilen lassen. Auch im vorliegenden Beschwerdeverfahren wurden keine medizinischen Stellungnahmen eingereicht, welche die festgestellten Lücken beim medizinischen Sachverhalt zu schliessen vermöchten.</w:t>
      </w:r>
    </w:p>
    <w:p>
      <w:r>
        <w:rPr>
          <w:b/>
        </w:rPr>
        <w:t>E. 8.1</w:t>
      </w:r>
    </w:p>
    <w:p>
      <w:r>
        <w:t>Steht - wie hier - fest, dass der medizinische Sachverhalt ungenügend abgeklärt ist, so ist nach der mit BGE 137 V 210 begründeten Rechtsprechung grundsätzlich eine Begutachtung durch das Gericht in die Wege zu leiten. Gerichtliche Expertisen sind nach dieser Rechtsprechung insbesondere angezeigt, wo der im Verwaltungsverfahren anderweitig erhobene medizinische Sachverhalt überhaupt gutachterlich abklärungsbedürftig ist oder ein Administrativgutachten in einem rechtserheblichen Punkt nicht beweiskräftig ist. Eine Rückweisung der Sache an die Vorinstanz zur weiteren Abklärung des Sachverhaltes (Art. 43 Abs. 1 ATSG) bleibt allerdings möglich, wenn sie in der notwendigen Beantwortung der bisher ungeklärten Frage nach den Auswirkungen des Gesundheitszustandes auf die Arbeits- respektive Leistungsfähigkeit begründet liegt oder wenn lediglich eine Klarstellung, Präzisierung oder Ergänzung gutachterlicher Ausführungen erforderlich ist (Art. 61 Abs. 1 VwVG; vgl. BGE 137 V 210 E. 4.4.1.4). Die regelmässige Einholung medizinischer Gerichtsgutachten entspricht allerdings nicht dem für das Abklärungsverfahren der Invalidenversicherung gesetzlich vorgesehenen System der Verwaltungsrechtspflege schweizerischen Zuschnitts (BGE 137 V 210 E. 2.2.2). Eine regelmässige Einholung von Gerichtsgutachten ist auch nicht unbedingt erforderlich, um das Abklärungsverfahren verfassungs- und konventionskonform auszugestalten. Eine weitgehende Verlagerung der Expertentätigkeit von der administrativen auf die gerichtliche Ebene ist - von der staatspolitischen Tragweite einer solchen grundsätzlichen, dem Gesetzgeber vorbehaltenen Grundsatzentscheidung abgesehen - auch sachlich gar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Würde eine gravierend mangelhafte Sachverhaltsabklärung im Verwaltungsverfahren durch Einholung eines Gerichtsgutachtens im Beschwerdeverfahren korrigiert, bestünde mithin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Überdies würde den Verfahrensbeteiligten mit dem Verzicht auf ein Administrativgutachten im Verwaltungsverfahren auch die Möglichkeit der Überprüfung durch ein Obergutachten im Beschwerdeverfahren genommen; der doppelte Instanzenzug bliebe diesbezüglich nicht gewahrt.</w:t>
      </w:r>
    </w:p>
    <w:p>
      <w:r>
        <w:rPr>
          <w:b/>
        </w:rPr>
        <w:t>E. 8.2</w:t>
      </w:r>
    </w:p>
    <w:p>
      <w:r>
        <w:t>Wie eingangs dargelegt (E. 3.3 und 3.4 hievor), wird vorliegend deshalb von einer rein formell-rechtlich begründeten Rückweisung zur Gewährung des Gehörsanspruchs abgesehen, weil diese - mit Blick auf die aus materiellen Gründen anzuordnende Rückweisung - zu einem formalistischen Leerlauf führen würde. Hinzu kommt, dass die IV-Stelle und die Vorinstanz bei sorgfältiger Prüfung der im vorinstanzlichen Verfahren eingereichten Arztberichte hätten abklären müssen, ob das Gutachten mit den medizinischen und den aktuellen rechtlichen Vorgaben im Einklang steht. Es steht ihr dafür jeweils ein eigener regionalärztlicher Dienst zur Verfügung. Unter Berücksichtigung des Grundsatzes der Verhältnismässigkeit ist die medizinische und rechtliche Qualität eines neu erstellten Gutachtens zeitnah zu überprüfen. Diese Vorgehensweise ermöglicht die zeitnahe Rückfrage bei den Experten. In diesem Zusammenhang ist zu berücksichtigen, dass das menschliche Erinnerungsvermögen vor allem mit Bezug auf Einzelheiten eines Geschehens relativ rasch verblasst (Urteil des EVG U 26/00 vom 21. August 2001 E. 1b). Die Gutachter sind in einem ersten Schritt um Erläuterung oder Ergänzung der mangelhaften Stellen zu ersuchen. Bleibt das Begutachtungsergebnis weiterhin ungenügend, so ist erst subsidiär in einem nächsten Schritt eine Neubegutachtung im Verwaltungsverfahren in die Wege zu leiten. Im vorliegenden Fall hätten die bestehenden Mängel zum damaligen Zeitpunkt allenfalls noch durch entsprechende Rückfragen beim Experten behoben werden können. Werden die Mängel indes erstmals im Zuge des Beschwerdeverfahrens vertieft geprüft, so kann regelmässig - so auch hier - selbst auf an sich beweiskräftiges Gutachten nicht mehr abgestellt werden, da es in zeitlicher Hinsicht keine rechtsgenügliche Entscheidungsgrundlage für die erneute Konsensbeurteilung und den Erlass einer neuen Verfügung mehr bildet (Urteil des BGer 8C_681/2015 vom 17. März 2016 E. 6; Urteil des BVGer C-1882/2017 vom 3. April 2018 E. 6.2). Aus dem Gesagten folgt, dass eine Rückweisung an die Vorinstanz zur Durchführung weiterer medizinischer Abklärungen auch mit Blick auf die genannte Unterlassung geboten ist (vgl. dazu auch Urteil des BVGer C-1882/2017 vom 3. April 2018 E. 6.1 und 6.2).</w:t>
      </w:r>
    </w:p>
    <w:p>
      <w:r>
        <w:rPr>
          <w:b/>
        </w:rPr>
        <w:t>E. 9.1</w:t>
      </w:r>
    </w:p>
    <w:p>
      <w:r>
        <w:t>Zusammenfassend ist festzuhalten, dass aus der angefochtenen Verfügung nicht hervorgeht, ob die Vorinstanz die von der Beschwerdeführerin im vorinstanzlichen Verfahren vorgebrachten Rügen tatsächlich zur Kenntnis genommen und geprüft hat, da aus der Begründung keine Hinweise für diese Annahme hervorgehen und die Verfügung mit dem Vorbescheid auch vollumfänglich identisch ist, ohne dass die Einwände der Beschwerdeführerin erwähnt oder gar thematisiert worden wären. Von einer Rückweisung an die Vorinstanz zur Gewährung des rechtlichen Gehörs ist indes vorliegend abzusehen, weil diese zu einem prozessualen Leerlauf führen würde und damit im Widerspruch zum Interesse der Beschwerdeführerin an einer raschestmöglichen Abklärung des medizinischen Sachverhaltes stünde. Darüber hinaus genügt das eingeholte psychiatrische Administrativgutachten den rechtsprechungsgemässen Anforderungen an eine medizinische Beurteilungsgrundlage nicht, so dass sich die funktionelle Leistungsfähigkeit und damit auch die Auswirkungen auf die Erwerbsfähigkeit nicht zuverlässig beurteilen lassen. Vorliegend ist eine ergänzende psychiatrische Expertise bei einem bisher nicht mit der Angelegenheit befassten psychiatrischen Spezialisten einzuholen.</w:t>
      </w:r>
    </w:p>
    <w:p>
      <w:r>
        <w:rPr>
          <w:b/>
        </w:rPr>
        <w:t>E. 9.2</w:t>
      </w:r>
    </w:p>
    <w:p>
      <w:r>
        <w:t>Die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Beschwerdeführerin ist dazu das rechtliche Gehör zu gewähren und es ist ihm Gelegenheit zu geben, Zusatzfragen zu stellen (BGE 137 V 210 E. 3.4.2.9 S. 258 ff.).</w:t>
      </w:r>
    </w:p>
    <w:p>
      <w:r>
        <w:rPr>
          <w:b/>
        </w:rPr>
        <w:t>E. 9.3</w:t>
      </w:r>
    </w:p>
    <w:p>
      <w:r>
        <w:t>Die Beschwerde ist demnach insoweit gutzuheissen, als die angefochtene Verfügung vom 24. September 2018 aufzuheben ist und die Akten im Sinne der Erwägungen zur Durchführung weiterer Abklärungen im Sinne von E. 9.1 - 9.2 und anschliessendem Erlass einer neuen Verfügung an die Vorinstanz zurückzuweisen sind</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Der obsiegenden Beschwerdeführerin sind demnach keine Verfahrenskosten aufzuerlegen. Der unterliegenden Vorinstanz werden keine Verfahrenskosten auferlegt (Art. 63 Abs. 2 VwVG).</w:t>
      </w:r>
    </w:p>
    <w:p>
      <w:r>
        <w:rPr>
          <w:b/>
        </w:rPr>
        <w:t>E. 10.2</w:t>
      </w:r>
    </w:p>
    <w:p>
      <w:r>
        <w:t>Die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pauschal CHF 2'800.- (inkl. Auslagen, ohne Mehrwertsteuer, vgl. Urteil BVGer C-1741/2014 vom 28. April 2016 E. 8.3 mit Hinweisen) angemessen (vgl. Art. 9 Abs. 1 i.V.m. Art. 10 Abs. 2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