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C-6143/2023 vom 16. Juli 2024</w:t>
      </w:r>
    </w:p>
    <w:p>
      <w:r>
        <w:t>Bundesverwaltungsgericht, 2024-07-16, DE</w:t>
      </w:r>
    </w:p>
    <w:p>
      <w:r>
        <w:rPr>
          <w:b/>
        </w:rPr>
        <w:t xml:space="preserve">Quelle: </w:t>
      </w:r>
      <w:r>
        <w:t>https://mcp.opencaselaw.ch/entscheid/bvger_C-6143_2023</w:t>
      </w:r>
    </w:p>
    <w:p>
      <w:r>
        <w:t>FR: TAF C-6143/2023 du 16 juillet 2024</w:t>
      </w:r>
    </w:p>
    <w:p>
      <w:r>
        <w:t>IT: TAF C-6143/2023 del 16 luglio 2024</w:t>
      </w:r>
    </w:p>
    <w:p>
      <w:pPr>
        <w:pStyle w:val="Heading2"/>
      </w:pPr>
      <w:r>
        <w:t>Regeste</w:t>
      </w:r>
    </w:p>
    <w:p>
      <w:r>
        <w:t>Beitragsverfügung der Auffangeinrichtung</w:t>
      </w:r>
    </w:p>
    <w:p>
      <w:pPr>
        <w:pStyle w:val="Heading2"/>
      </w:pPr>
      <w:r>
        <w:t>Erwägungen</w:t>
      </w:r>
    </w:p>
    <w:p>
      <w:r>
        <w:rPr>
          <w:b/>
        </w:rPr>
        <w:t>E. 1.1</w:t>
      </w:r>
    </w:p>
    <w:p>
      <w:r>
        <w:t>Das Bundesverwaltungsgericht ist zur Behandlung der vorliegenden Beschwerde zuständig (Art. 60 Abs. 2bis BVG; Art. 44 und Art. 50 Abs. 1 VwVG; Art. 33 lit. h VGG). Die Beschwerde vom 16. Oktober 2023 (Postaufgabe) erfolgte form- und fristgerecht.</w:t>
      </w:r>
    </w:p>
    <w:p>
      <w:r>
        <w:rPr>
          <w:b/>
        </w:rPr>
        <w:t>E. 1.2</w:t>
      </w:r>
    </w:p>
    <w:p>
      <w:r>
        <w:t>Auf das Beschwerdeverfahren vor dem Bundesverwaltungsgericht findet das VwVG Anwendung (Art. 37 VGG). Nach Art. 63 Abs. 4 VwVG erhebt die Beschwerdeinstanz vom Beschwerdeführer einen Kostenvorschuss in der Höhe der mutmasslichen Verfahrenskosten; zu dessen Leistung ist dem Beschwerdeführer eine angemessene Frist anzusetzen unter Androhung des Nichteintretens.</w:t>
      </w:r>
    </w:p>
    <w:p>
      <w:r>
        <w:rPr>
          <w:b/>
        </w:rPr>
        <w:t>E. 1.3</w:t>
      </w:r>
    </w:p>
    <w:p>
      <w:r>
        <w:t>Gemäss Art. 21 Abs. 1 VGG ergehen Urteile in der Regel in Dreierbesetzung. Dies gilt vorliegend auch für die Gesuche um Fristerstreckung bzw. Fristwiederherstellung (vgl. Art. 21 Abs. 1 VGG und Art. 23 VGG e contrario).</w:t>
      </w:r>
    </w:p>
    <w:p>
      <w:r>
        <w:rPr>
          <w:b/>
        </w:rPr>
        <w:t>E. 2</w:t>
      </w:r>
    </w:p>
    <w:p>
      <w:r>
        <w:t>Es ist aktenmässig erstellt und unbestritten, dass die Beschwerdeführerin den im Rahmen des Instruktionsverfahrens erhobenen Kostenvorschuss mit Postüberweisung vom 12. Februar 2024 vergütete und somit nicht innerhalb der ihr angesetzten Frist (s. hiervor Bst. D). Bereits zuvor, mit Eingabe datiert vom 9. Februar 2024, hatte sie um eine Fristerstreckung zur Zahlung des Kostenvorschusses ersucht. Im Nachfolgenden ist zunächst zu prüfen, ob das Fristerstreckungsgesuch rechtzeitig erfolgte.</w:t>
      </w:r>
    </w:p>
    <w:p>
      <w:r>
        <w:rPr>
          <w:b/>
        </w:rPr>
        <w:t>E. 3.1</w:t>
      </w:r>
    </w:p>
    <w:p>
      <w:r>
        <w:t>Die Frist für die Zahlung eines Vorschusses ist gewahrt, wenn der Betrag rechtzeitig zugunsten der Behörde der Schweizerischen Post übergeben oder einem Post- oder Bankkonto in der Schweiz belastet worden ist (Art. 21 Abs. 3 VwVG). Eine behördlich angesetzte Frist kann aus zureichenden Gründen erstreckt werden, wenn die Partei vor Ablauf der Frist darum ersucht (Art. 22 Abs. 2 VwVG). Schriftliche Eingaben sind spätestens am letzten Tag der Frist bis 24.00 Uhr der Behörde einzureichen oder zu deren Handen der Schweizerischen Post oder einer schweizerischen diplomatischen oder konsularischen Vertretung zu übergeben.</w:t>
      </w:r>
    </w:p>
    <w:p>
      <w:r>
        <w:rPr>
          <w:b/>
        </w:rPr>
        <w:t>E. 3.2</w:t>
      </w:r>
    </w:p>
    <w:p>
      <w:r>
        <w:t>Die Beweislast für die Rechtzeitigkeit von fristgebundenen Eingaben trägt diejenige Partei, welche diese Handlung vorzunehmen hat, wobei die Rechtzeitigkeit der Eingabe mit Gewissheit feststehen muss (vgl. BGE 142 V 389 E. 2.2). Nebst der Aufgabe am Postschalter ist auch der Einwurf in einen Briefkasten der Post eine fristwahrende Handlung, sofern die Rechtzeitigkeit der Handlung rechtsgenüglich nachgewiesen wird. In der Regel entspricht der Poststempel dem Datum der Übergabe. Wer behauptet, eine Sendung schon am Vortag der Poststempelung in den Briefkasten eingeworfen zu haben, hat das Recht, sich die aus dem Poststempel ergebende Vermutung der verspäteten Postaufgabe mit allen tauglichen Beweismitteln (insbesondere auch der klare und unzweifelhafte Beweis durch unabhängige Zeugen) zu widerlegen (vgl. u.a. BGE 147 IV 526 E. 3.1, 142 V 389 E. 2.2 und Urteil BGer 9C_681/2015 vom 13. November 2015 E. 2). Zeugenaussagen unterliegen der freien Beweiswürdigung des Gerichts und ihr Beweiswert hängt massgeblich von den konkreten Umständen ab. Die Rechtsprechung verlangt Unabhängigkeit der Zeugen, die namentlich bei (enger) Verwandtschaft oder enger Beziehungsnähe (z.B. Ehegatte oder Partner) ernsthaft in Zweifel gezogen wird. Der rechtsgenügende Beweis des Zeitpunkts des Briefkasteneinwurfs lässt sich in den meisten Fällen nur durch die Unterschrift unabhängiger Zeugen mit deren eigenhändiger, exakter Orts-, Datums- und Uhrzeitangabe auf dem Umschlag der betreffenden Eingabe erbringen (Kathrin Amstutz/Peter Arnold in: Niggli/Uebersax/Wiprächtiger/Kneubühler (Hrsg.), Basler Kommentar zum Bundesgerichtsgesetz, 3. Aufl. 2018, N 10c zu Art. 48 BGG).</w:t>
      </w:r>
    </w:p>
    <w:p>
      <w:r>
        <w:rPr>
          <w:b/>
        </w:rPr>
        <w:t>E. 3.3</w:t>
      </w:r>
    </w:p>
    <w:p>
      <w:r>
        <w:t>Vorliegend ersuchte die Beschwerdeführerin mit Eingabe vom 9. Februar 2024 (an das fälschlicherweise adressierte Bundesgericht) um eine Erstreckung der Frist um fünf Tage zur Leistung des Kostenvorschusses. Als Begründung führte sie aus, dass B._______ die Verfügung vom 9. Januar 2024, mit welcher die Leistung des Kostenvorschusses innert Frist bis 9. Februar 2024 verfügt wurde, krankheitsbedingt erst am Abend des 9. Februar 2024 bei seiner Tochter abgeholt habe (BVGer-act. 17 Beilagen).</w:t>
      </w:r>
    </w:p>
    <w:p>
      <w:r>
        <w:rPr>
          <w:b/>
        </w:rPr>
        <w:t>E. 3.4</w:t>
      </w:r>
    </w:p>
    <w:p>
      <w:r>
        <w:t>Laut der Sendungsverfolgung der Post (Sendungsnummer [...]) wurde die Eingabe der Beschwerdeführerin am 12. Februar 2024 sortiert und weitergeleitet, weshalb praxisgemäss die Vermutung gilt, dass das Gesuch erst nach Ablauf der Frist, also nach dem 9. Februar 2024, gestellt wurde. Um die rechtzeitige Postaufgabe zu belegen, sind auf dem Briefumschlag folgende handschriftliche Vermerke angebracht: «BRIEF HEUTE EINGEWORFEN 09.02.024 ABENDS 20.00 POST FRAUENFELD», «heute Abend eingeworfen 20:30 9.2.2024» und «Heute abend eingeworfen 20:30 9.2.2024 in Frauenfeld». Zusätzlich sind die Unterschriften von E._______, F._______ und G._______ auf dem Umschlag aufgeführt (BVGer-act. 17 Beilagen). Diese Zeugen weisen allesamt den gleichen Familiennamen wie der Vertreter der Beschwerdeführerin auf. Es liegt deshalb die Vermutung eines verwandtschaftlichen Verhältnisses nahe, was wiederum erhebliche Zweifel an der Unabhängigkeit dieser Personen als Zeugen hervorruft. Um die Umstände des Einwurfs zu ergründen und die Identität der Zeugen festzustellen, wurde die Beschwerdeführerin aufgefordert, von den auf dem Briefumschlag ersichtlichen Zeugen eine Erklärung erhältlich zu machen (inkl. Wohnadresse, Originalunterschrift, Kopie der Identitätskarte und Angaben zu einem allenfalls bestehenden verwandtschaftlichen Verhältnis zum Vertreter der Beschwerdeführerin), worin sich diese zu den konkreten Umständen des Briefeinwurfs äussern (BVGer-act. 20).</w:t>
      </w:r>
    </w:p>
    <w:p>
      <w:r>
        <w:rPr>
          <w:b/>
        </w:rPr>
        <w:t>E. 3.5</w:t>
      </w:r>
    </w:p>
    <w:p>
      <w:r>
        <w:t>Die vom Gericht angeforderten Angaben zu den Zeugen wurden von der Beschwerdeführerin nicht eingereicht. Auch bestehen aufgrund der Umstände erhebliche Zweifel in Bezug auf den effektiven Zeitpunkt des Briefeinwurfs bzw. bezüglich der Unabhängigkeit (aufgrund des mutmasslichen Verwandtschaftsverhältnisses) der von der Beschwerdeführerin genannten Zeugen. Aktenmässig widerlegt ist zudem die Behauptung des Vertreters, er habe die Verfügung vom 9. Januar 2024 krankheitsbedingt erst am Abend des 9. Februars 2024 bei seiner Tochter abgeholt, zumal gemäss Akten die Sendung ihm persönlich am 11. Januar 2024 zugestellt worden war (BVGer-act. 13). Insofern bestand genügend Zeit, um den Kostenvorschuss innert Frist zu begleichen oder um einen Dritten damit zu beauftragen. Im Übrigen wäre es seine Aufgabe als Geschäftsführer gewesen, eine Stellvertretung zur Sicherstellung eines geordneten Geschäftsablaufs zu organisieren. Daran ändert auch das nachträglich am 21. Februar 2024 ausgestellte ärztliche Zeugnis nichts (BVGer-act. 18). Dieses attestiert ihm eine Arbeitsunfähigkeit vom 9. bis 28. Februar 2024. Somit wäre ihm vom 11. Januar 2024 (Zustellung) bis zum 8. Februar 2024 (Tag vor der Krankschreibung) möglich und zumutbar gewesen, die Überweisung zu tätigen oder einen Vertreter bzw. eine Hilfsperson damit zu betrauen. Aus dem eingereichten ärztlichen Zeugnis ergibt sich insbesondere nicht, dass der Vertreter der Beschwerdeführerin im massgeblichen Zeitraum handlungsunfähig sei und somit unfähig gewesen wäre, eine Post- oder Banküberweisung zu veranlassen (vgl. Urteil BGer 9C_622/2022 vom 6. Februar 2023 E. 6.3.2). Davon unbesehen hinderte der Gesundheitszustand B._______ offenbar nicht, am 12. Februar 2024 trotz attestierter Arbeitsunfähigkeit nach St. Gallen zu reisen. Ebenso wenig schlüssig erklären lässt sich die Frage, weshalb es dem Vertreter der Beschwerdeführerin nicht möglich gewesen sein soll, weitere Angaben zu den auf dem Umschlag aufgeführten Zeugen erhältlich zu machen. Selbst wenn davon auszugehen wäre, dass gemäss Attest vom 29. April 2024 eine Arbeitsunfähigkeit bestanden hätte, wäre es in erster Linie Aufgabe der Zeugen gewesen, sich auszuweisen und zu den Umständen zu äussern. Zusammenfassend ist festzuhalten, dass die Rechtzeitigkeit des Gesuchs um Fristerstreckung nicht rechtsgenüglich erstellt ist.</w:t>
      </w:r>
    </w:p>
    <w:p>
      <w:r>
        <w:rPr>
          <w:b/>
        </w:rPr>
        <w:t>E. 4</w:t>
      </w:r>
    </w:p>
    <w:p>
      <w:r>
        <w:t>Weiter ist zu prüfen, wie die Eingabe der Beschwerdeführerin vom 6. März 2024 zu qualifizieren ist (BVGer-act. 18).</w:t>
      </w:r>
    </w:p>
    <w:p>
      <w:r>
        <w:rPr>
          <w:b/>
        </w:rPr>
        <w:t>E. 4.1</w:t>
      </w:r>
    </w:p>
    <w:p>
      <w:r>
        <w:t>Die Eingabe vom 6. März 2024 trägt den Titel «Fristwiederherstellungsgesuch» und es ist ihr zu entnehmen, dass B._______ krank gewesen sei und er zu spät bemerkt habe, dass ein Kostenvorschuss innert Frist zu leisten sei. In der Woche vom 5. bis 9. Februar 2024 habe ihn niemand unterstützt bzw. niemand an die Frist erinnert oder seine Post erledigt. Die versäumte Handlung sei nachgeholt worden und er bitte darum, die verspätete Zahlung des Kostenvorschusses zu akzeptieren (BVGer-act. 18).</w:t>
      </w:r>
    </w:p>
    <w:p>
      <w:r>
        <w:rPr>
          <w:b/>
        </w:rPr>
        <w:t>E. 4.2</w:t>
      </w:r>
    </w:p>
    <w:p>
      <w:r>
        <w:t>Aufgrund der gemachten Ausführungen ist von einem Gesuch um Wiederherstellung der Frist auszugehen und zu prüfen, ob die gesetzlichen Voraussetzungen erfüllt sind. Gemäss Art. 24 Abs. 1 VwVG kann eine Frist wiederhergestellt werden, wenn der Gesuchsteller oder sein Vertreter unverschuldeterweise davon abgehalten worden ist, binnen Frist zu handeln. Das entsprechende Gesuch ist innert 30 Tagen nach Wegfall des Hindernisses zu stellen und die versäumte Rechtshandlung nachzuholen. Die unverschuldete Verhinderung muss beim Gesuchsteller oder seinem Vertreter vorliegen. Die Partei hat sich dabei das Verhalten ihrer Vertretung vollumfänglich zurechnen zu lassen. Dasselbe gilt auch für Fehler von Hilfspersonen der Partei oder ihrer Vertretung (vgl. Patricia Egli, a.a.O., N 16 f. zu Art. 24 VwVG). Sie wird angenommen, wenn für das Versäumnis objektive oder subjektive Gründe im Sinne einer objektiven oder subjektiven Unmöglichkeit vorliegen und der Partei oder deren Vertretung keine Nachlässigkeit vorgeworfen werden kann. War die gesuchstellende Person respektive ihre Vertretung wegen eines von ihrem Willen unabhängigen Umstands verhindert, zeitgerecht zu handeln, liegt objektive Unmöglichkeit vor. Dies ist beispielsweise der Fall bei Naturkatastrophen oder schwerwiegenden Erkrankungen (vgl. Patricia Egli, a.a.O., N 12 f. zu Art. 24 VwVG). Subjektive Unmöglichkeit liegt vor, wenn die gesuchstellende Person oder ihre Vertretung zwar objektiv in der Lage wäre zu handeln, aber aus subjektiven Umständen, die sie nicht zu verantworten hat, an der Vornahme der Handlung verhindert ist. Als subjektive Hinderungsgründe kommen Fälle in Betracht, in denen die Person aufgrund mangelnder Kenntnisse die Situation nicht richtig einzuschätzen vermochte oder aufgrund eines unverschuldeten Irrtums nicht rechtzeitig handelte (vgl. Patricia Egli, a.a.O., N 14 zu Art. 24 VwVG). Das Mass der anzuwendenden Sorgfalt richtet sich bei den objektiven und subjektiven Verhinderungsgründen nach den konkreten Verhältnissen. Dabei ist zu differenzieren, ob der geltend gemachte Wiederherstellungsgrund die Partei oder deren Rechtsvertreter betrifft (vgl. Patricia Egli, a.a.O., N 12 ff. zu Art. 24 VwVG). Entschuldigt wird die Säumnis nur, wenn seitens des Handlungspflichtigen kein Verschulden - auch keine bloss leichte Fahrlässigkeit - vorliegt bzw. die Umstände, welche von der Fristwahrung abhielten, nicht von der handlungspflichtigen Person zu verantworten sind. Es gilt somit ein strenger Massstab. Nur klare Schuldlosigkeit des Gesuchstellers und seines Vertreters können zur Fristwiederherstellung führen. Insbesondere stellt ein auf Unachtsamkeit zurückzuführendes Versehen kein unverschuldetes Hindernis dar (vgl. Urteil des BGer 2C_703/2009 vom 21. September 2010 m.H. auf Urteil 2P.343/1990 vom 7. Oktober 1991 E. 4b).</w:t>
      </w:r>
    </w:p>
    <w:p>
      <w:r>
        <w:rPr>
          <w:b/>
        </w:rPr>
        <w:t>E. 4.3</w:t>
      </w:r>
    </w:p>
    <w:p>
      <w:r>
        <w:t>Nach dem Dargelegten wendete der Vertreter der Beschwerdeführerin nicht das Mass der gebotenen Sorgfalt an, um den Kostenvorschuss fristgerecht zu begleichen (insb. Ziff. 3.4 und 3.5 hiervor). Es liegt keine unverschuldete Verhinderung im Sinn von Art. 24 Abs. 1 VwVG vor, weshalb das Gesuch um Wiederherstellung der Frist zur Bezahlung des Kostenvorschusses abzuweisen ist.</w:t>
      </w:r>
    </w:p>
    <w:p>
      <w:r>
        <w:rPr>
          <w:b/>
        </w:rPr>
        <w:t>E. 5</w:t>
      </w:r>
    </w:p>
    <w:p>
      <w:r>
        <w:t>Zusammenfassend ist festzuhalten, dass sowohl das Gesuch um Fristerstreckung als auch dasjenige um Fristwiederherstellung zur Leistung des Kostenvorschusses abzuweisen sind. Auf die Beschwerde ist nicht einzutreten.</w:t>
      </w:r>
    </w:p>
    <w:p>
      <w:r>
        <w:rPr>
          <w:b/>
        </w:rPr>
        <w:t>E. 6</w:t>
      </w:r>
    </w:p>
    <w:p>
      <w:r>
        <w:t>Es sind keine Verfahrenskosten zu erheben und es ist keine Parteientschädigung zu gewähren (Art. 6 Bst. b und Art. 7 Abs. 1 und 3 des Reglements vom 21. Februar 2008 über die Kosten und Entschädigungen vor dem Bundesverwaltungsgericht [VGKE, SR 173.320.2]). Der am 12. Februar 2024 eingezahlte Betrag von Fr. 2'000.- betreffend das Beschwerdeverfahren ist der Beschwerdeführerin nach Eintritt der Rechtskraft dieses Urteils zurückzuerstatten.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