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C-6129/2012 vom 18. September 2013</w:t>
      </w:r>
    </w:p>
    <w:p>
      <w:r>
        <w:t>Bundesverwaltungsgericht, 2013-09-18, FR</w:t>
      </w:r>
    </w:p>
    <w:p>
      <w:r>
        <w:rPr>
          <w:b/>
        </w:rPr>
        <w:t xml:space="preserve">Quelle: </w:t>
      </w:r>
      <w:r>
        <w:t>https://mcp.opencaselaw.ch/entscheid/bvger_C-6129_2012</w:t>
      </w:r>
    </w:p>
    <w:p>
      <w:r>
        <w:t>FR: TAF C-6129/2012 du 18 septembre 2013</w:t>
      </w:r>
    </w:p>
    <w:p>
      <w:r>
        <w:t>IT: TAF C-6129/2012 del 18 settembre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1.5</w:t>
      </w:r>
    </w:p>
    <w:p>
      <w:r>
        <w:t>En application de l'art. 40 al. 1 let b du règlement du 17 janvier 1961 sur l'assurance-invalidité (RAI, RS 831.201) l'OAIE est compétente pour enregistrer et examiner les demandes des assurés domiciliés à l'étranger, sous réserve des exceptions - non réalisées en l'espèce - des al. 2 et 2bis dudit article.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2.5</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2.6</w:t>
      </w:r>
    </w:p>
    <w:p>
      <w:r>
        <w:t>Concrètement le Tribunal peut se limiter à examiner si le droit à une rente était né jusqu'au 23 octobre 2012, date de la décision attaquée marquant la limite dans le temps du pouvoir d'examen de l'autorité de recours (ATF 129 V 1 consid. 1.2; 129 V 222, consid. 4.1; 121 V 362 consid. 1b).</w:t>
      </w:r>
    </w:p>
    <w:p>
      <w:r>
        <w:rPr>
          <w:b/>
        </w:rPr>
        <w:t>E. 3.1</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w:t>
      </w:r>
    </w:p>
    <w:p>
      <w:r>
        <w:rPr>
          <w:b/>
        </w:rPr>
        <w:t>E. 3.2</w:t>
      </w:r>
    </w:p>
    <w:p>
      <w:r>
        <w:t>En l'espèce, le recourant a versé des cotisations à l'AVS/AI pendant plus de trois années et remplit donc la condition de durée minimale de cotisation. Il reste à examiner s'il est invalide.</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Le recourant a travaillé en Suisse durant plus de 5 ans, entre 1981 et 1986, dans le domaine de la construction, ainsi qu'en Espagne en qualité d'assistant magasinier (pces 1, 8 et 45). Son contrat de travail y a été résilié pour le 31 octobre 2009 pour cause de maladie (pce 28). Il n'a pas retravaillé depuis.</w:t>
      </w:r>
    </w:p>
    <w:p>
      <w:r>
        <w:rPr>
          <w:b/>
        </w:rPr>
        <w:t>E. 5.2</w:t>
      </w:r>
    </w:p>
    <w:p>
      <w:r>
        <w:t>La notion d'invalidité telle qu'elle résulte de l'art. 8 LPGA et de l'art. 4 LAI est de nature économique et juridique, et non médicale (ATF 116 V 246 consid. 1b). Autrement dit, l'assurance-invalidité couvre seulement les pertes économiques liées à une atteinte à la santé, résultant d'une infirmité congénitale, d'une maladie ou d'un accident, et non l'atteinte à la santé en tant que telle. Le taux d'invalidité d'une personne exerçant une activité lucrative est ainsi fixé d'après la comparaison des revenus prévue par l'art. 16 LPGA aux termes duquel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Berne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w:t>
      </w:r>
    </w:p>
    <w:p>
      <w:r>
        <w:rPr>
          <w:b/>
        </w:rPr>
        <w:t>E. 6.1.2</w:t>
      </w:r>
    </w:p>
    <w:p>
      <w:r>
        <w:t>L'assureur examine les demandes, prend d'office les mesures d'instruction nécessaires et recueille les renseignements dont il a besoin (art. 43 al. 1, 1ère phrase, LPGA). L'assuré doit se soumettre à des examens médicaux ou techniques si ceux-ci sont nécessaires à l'appréciation du cas et qu'ils peuvent être raisonnablement exigés (art. 43 al. 2 LPGA).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Le dispositif est complété par l'art. 7b al. 2 LAI prévoyant qu'il peut être renoncé à la mise en demeure et au délai de réflexion si l'assuré ne communique pas les renseignements dont l'Office AI a besoin pour remplir les tâches qui lui sont assignées par la loi. Selon la jurisprudence, la mise en demeure doit indiquer de façon suffisamment explicite ce que l'autorité attend de l'assuré (arrêt du Tribunal fédéral 9C_961/2008 du 30 novembre 2009 consid. 6.2; Ueli Kieser, ATSG-Kommentar, Zurich/Bâle/Genève 2009, art. 43 LPGA n° 52 et art. 21 LPGA n° 90).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(arrêt du Tribunal fédéral 9C_345/2007 du 26 mars 2008 consid. 4; Kieser, op. cit., art. 43 LPGA n° 52). Inversement, dès lors que le dossier ne lui permet pas de se prononcer, l'autorité inférieure prononce une décision de non-entrée en matière.</w:t>
      </w:r>
    </w:p>
    <w:p>
      <w:r>
        <w:rPr>
          <w:b/>
        </w:rPr>
        <w:t>E. 6.1.3</w:t>
      </w:r>
    </w:p>
    <w:p>
      <w:r>
        <w:t>D'une manière générale, le fait que l'administré doive coopérer à l'établissement des faits ne dispense pas l'autorité de constater les faits d'office. Cette règle vaut également dans les cas où l'administré ne collabore pas à l'établissement des faits L'autorité, quant à elle, conserve son devoir de constater d'office les faits, indépendamment du comportement de la partie. Le devoir d'instruction de l'autorité ne devrait pas prendre fin du fait que l'administré a violé son obligation de collaborer. Les deux devoirs sont en principe indépendants et l'autorité doit s'efforcer d'établir les faits quand bien même la partie ne coopère pas (Clémence Grisel, L'obligation de collaborer des parties en procédure administrative, thèse Fribourg, Zurich/Genève/Bâle 2008, n° 159 ss et 790; voir également ATF 97 V 173; Stéphane Blanc, La procédure administrative en assurance-invalidité, Fribourg, 1999, p. 117).</w:t>
      </w:r>
    </w:p>
    <w:p>
      <w:r>
        <w:rPr>
          <w:b/>
        </w:rPr>
        <w:t>E. 6.2</w:t>
      </w:r>
    </w:p>
    <w:p>
      <w:r>
        <w:t>En l'espèce, durant la phase d'instruction de la demande de rente d'invalidité, l'OAIE a sollicité, à maintes reprises, de la part de l'INSS la production de pièces et de documents. En particulier, la production de l'expertise E 213 a été requise à deux reprises les 16 janvier et 7 mars 2012 (pces 27 et 40). L'INSS n'a toutefois pas produit les documents requis ou seulement de manière incomplète. Or, devant les difficultés rencontrées pour obtenir ces renseignements, l'autorité inférieure était face à une alternative. Si l'autorité inférieure estimait que le dossier restait incomplet malgré les tentatives d'obtenir les documents médicaux auprès de l'INSS, elle pouvait prononcer une non-entrée en matière une fois l'assuré mis en demeure de fournir ces documents. Elle l'avait d'ailleurs fait à l'occasion de la première demande de rente d'invalidité déposée par le recourant (pces 1 à 10). Si cette même autorité estimait en revanche qu'une décision au fond était possible, elle pouvait statuer en l'état du dossier. Or, en l'espèce, l'autorité inférieure a fait le choix de se prononcer matériellement sur la demande du recourant. Conformément au consid. 6.1.3 ci-dessus, il lui incombait dès lors de constater d'office les faits. Le tribunal de céans devra donc examiner si les faits à la base de la décision attaquée ont été établis de manière exacte et complète (art. 49 let. b PA).</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351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w:t>
      </w:r>
    </w:p>
    <w:p>
      <w:r>
        <w:rPr>
          <w:b/>
        </w:rPr>
        <w:t>E. 7.1</w:t>
      </w:r>
    </w:p>
    <w:p>
      <w:r>
        <w:t>En l'espèce, le recourant a été atteint par deux affections. Il a été victime d'un accident du travail dont il est ressorti avec une fracture du diaphyse de l'humérus droit et du cubitus droit ayant eu pour conséquence un déficit persistant dans la pronation et la supination du poignet droit, dans la flexion et l'extension du coude droit et dans l'abduction de l'épaule droite (pce 46). Dans le courant de l'année 2008 (date exacte inconnue), l'intéressé s'est vu diagnostiquer un cancer du rectum et a subi à ce titre un traitement associant radiothérapie et chimiothérapie. En dépit de ces soins, l'intéressé a dû se voir pratiquer une amputation abdomino-périnale le 4 mars 2009. Il doit depuis lors porter une poche de colostomie (pces 4, 19-21). Le 28 décembre 2009, l'intéressé a dû subir une nouvelle opération pour une volumineuse hernie de la paroi abdominale à l'endroit de la poche de colostomie (pces 3 et 20). Le 11 août 2010, l'intéressé a dû une nouvelle fois être opéré suite à la récidive de son hernie (pce 31). Le 12 juillet 2011, suite à une nouvelle récidive, sa poche de colostomie a été nouvellement positionnée (pce 29).</w:t>
      </w:r>
    </w:p>
    <w:p>
      <w:r>
        <w:rPr>
          <w:b/>
        </w:rPr>
        <w:t>E. 7.2</w:t>
      </w:r>
    </w:p>
    <w:p>
      <w:r>
        <w:t>Dans son rapport du 23 mai 2012, Dr B. _______ retenait que le recourant était invalide à raison de 70% pour la période dès le 4 mars 2009, date de la colostomie, pour l'activité de magasinier. En revanche, pour les activités de substitution, l'incapacité était de 0% dès le 4 mars 2009 (pce 46). Dans son rapport du 8 août 2012, la Dresse C. _______ retenait que celui-ci était invalide à raison de 80% pour la période dès le 25 septembre 2008, et ce de manière définitive pour l'activité de magasinier, en raison des complications opératoires consécutives (hernies à répétition). En revanche, pour les activités de substitution, à savoir les activités légères ne nécessitant pas de porter de charges supérieures à 5 kilos, de se pencher, de s'accroupir à répétition, l'incapacité était de 80% du 25 septembre 2008 au 1er juin 2009, puis de 20%. Le rapport ne se prononçait pas sur l'éventuelle fin de l'incapacité et retenait la nécessité de faire débuter l'incapacité de travail au 25 septembre 2008 car cela correspondrait au début des investigations ayant conduit aux traitements de radiothérapie et de chimiothérapie préopératoires. Il réformait sur ce point le premier rapport qui ne faisait débuter l'incapacité qu'au 4 mars 2009, soit à la date de la colostomie.</w:t>
      </w:r>
    </w:p>
    <w:p>
      <w:r>
        <w:rPr>
          <w:b/>
        </w:rPr>
        <w:t>E. 7.3.1</w:t>
      </w:r>
    </w:p>
    <w:p>
      <w:r>
        <w:t>Les deux rapports des médecins de l'Office AI, les Drs B. _______ et C. _______ sur lesquelles reposent la décision querellée sont sommairement motivées: ils ne justifient pas leurs conclusions notamment quant aux taux d'incapacité de travail du recourant. Par conséquent, ces deux rapports ne sont pas de nature, indépendamment de leurs conclusions, à emporter la conviction de l'autorité de recours. De plus, ils ont été effectués sur la base du dossier médical du recourant, dont l'autorité de recours va relever le caractère lacunaire dans les considérants ci-après.</w:t>
      </w:r>
    </w:p>
    <w:p>
      <w:r>
        <w:rPr>
          <w:b/>
        </w:rPr>
        <w:t>E. 7.3.2</w:t>
      </w:r>
    </w:p>
    <w:p>
      <w:r>
        <w:t>L'expertise E 213 qui fait partie du dossier médical a été produite, mais dans des versions qui n'étaient soit pas datées, soit pas signées. La seule version datée était du 9 avril 2010 (pce 21) et la seule version signée datait du 11 mai 2010 (pce 21), c'est-à-dire environ deux ans et demi avant la prise de la décision querellée le 23 octobre 2012. Outre l'écoulement du temps qui pouvait à lui seul altérer la qualité des conclusions de l'auteur de ces expertises E 213, le recourant a subi dans cet intervalle plusieurs opérations, décrites ci-dessus. Or ces opérations ont potentiellement modifié la capacité de travail du recourant. En l'état, ce point ne peut être établi. En conséquence de quoi, la version de l'expertise E 213 figurant au dossier et sur laquelle les médecins de l'Office AI se sont prononcés était obsolète; l'autorité inférieure aurait dû prendre des mesures pour l'actualiser, éventuellement en s'adressant directement à l'assuré pour lui demander de fournir les documents médicaux en sa possession.</w:t>
      </w:r>
    </w:p>
    <w:p>
      <w:r>
        <w:rPr>
          <w:b/>
        </w:rPr>
        <w:t>E. 7.3.3</w:t>
      </w:r>
    </w:p>
    <w:p>
      <w:r>
        <w:t>En règle générale, il incombe à un médecin qui s'écarte des conclusions d'un rapport d'expertise d'indiquer les raisons médicales qui le conduisent à des conclusions différentes. Tel n'est pas le cas en l'espèce. Le deuxième rapport, celui de la Dresse C. _______, divergeait sur plusieurs points du premier rapport du Dr B. _______: sur le début de l'incapacité de travail, sur son éventuelle fin ainsi que sur les taux d'incapacité aussi bien pour l'activité de magasinier que pour une activité de substitution. Le rôle de l'expert médical dans une discipline médicale spécifique suppose des connaissances correspondantes bien établies de la part de l'expert qui établit le rapport. Le second rapport d'un médecin de l'Office AI a conclu à l'absence de causalité entre l'accident du travail et l'incapacité du recourant, alors que cette causalité était retenue par le premier rapport. Or celui-ci a été réalisé par une oncologue et hématologue, qui s'est ainsi prononcée sur une question qui ne relevait pas de son domaine de compétence, à savoir une question orthopédique.</w:t>
      </w:r>
    </w:p>
    <w:p>
      <w:r>
        <w:rPr>
          <w:b/>
        </w:rPr>
        <w:t>E. 7.3.4</w:t>
      </w:r>
    </w:p>
    <w:p>
      <w:r>
        <w:t>Par ailleurs, les pièces médicales figurant au dossier du recourant posent plusieurs problèmes quant à leur valeur probante. Les derniers certificats médicaux établis par les médecins traitants du recourant et figurant au dossier sont les suivants: un certificat médical du 23 août 2010 mentionnant une évolution favorable après la colostomie du 11 août 2010 (pce 31), un certificat médical du 19 juillet 2011 concernant une nouvelle opération de colostomie du 12 juillet 2011 et retenant une évolution chirurgicale favorable (pce 29) et un certificat médical du 15 novembre 2011 mentionnant un traitement par radiothérapie et chimiothérapie, un état après opération de colostomie avec pose d'une poche permanente et une incapacité de travail (pce 30). L'autorité de recours retient, d'une part, que ces certificats sont brefs et ne contiennent que peu d'indications sur l'état de santé du recourant et les traitements qui lui ont été administrés. Le recourant a subi des traitements lourds, en particulier une radiothérapie et une chimiothérapie, pour combattre son cancer. Il a également subi de nombreuses opérations suite à une hernie à répétition et en lien avec le positionnement de sa poche de colostomie. D'autre part, aucun certificat médical n'indique réellement les conséquences de ces traitements et opérations. Ces certificats ne se prononcent pas en particulier sur la capacité de travail résiduelle du recourant. Seul celui du 15 novembre 2011 fait état d'une incapacité de travail. Cela étant, cette incapacité n'est pas chiffrée et, quand bien même on la supposerait totale, l'autorité de recours ne peut que constater que ce certificat n'est pas motivé. On ignore ainsi comment cette appréciation a été portée. L'autorité inférieure ne pouvait dès lors pas se fonder sur le certificat du 15 novembre 2011 pour porter son appréciation. Là aussi, l'autorité inférieure dans l'exercice de son devoir d'instruction aurait dû poursuivre plus avant pour établir ce degré d'incapacité.</w:t>
      </w:r>
    </w:p>
    <w:p>
      <w:r>
        <w:rPr>
          <w:b/>
        </w:rPr>
        <w:t>E. 7.3.5</w:t>
      </w:r>
    </w:p>
    <w:p>
      <w:r>
        <w:t>Enfin, les certificats médicaux figurant au dossier font état d'une amélioration de l'état de santé du recourant dans la mesure où son affection tumorale serait en rémission (notamment pce 21). Dès lors, la question d'une rente d'invalidité limitée dans le temps se pose. Aucun des rapports des médecins de l'Office AI ne se prononce clairement sur la question des périodes de convalescence du recourant et a fortiori sur son état de santé actuel. La Dresse C. _______ l'estime à 3 mois sur le fondement d'une expérience générale (pce 49) et non dans le cas particulier du recourant. On peine donc à évaluer un éventuel recouvrement de la capacité de travail du recourant, qui aurait éventuellement entraîné le droit à une rente limitée dans le temps.</w:t>
      </w:r>
    </w:p>
    <w:p>
      <w:r>
        <w:rPr>
          <w:b/>
        </w:rPr>
        <w:t>E. 7.4</w:t>
      </w:r>
    </w:p>
    <w:p>
      <w:r>
        <w:t>Il s'ensuit que le dossier est lacunaire. D'une part, la durée de l'incapacité de travail n'a pas été établie de manière précise, ni même ses causes exactes. Le taux moyen de cette incapacité pour l'activité principale comme pour les activités de substitution n'a pas été évalué de manière à emporter la conviction. D'autre part, les conclusions médicales ne sont pas motivées, en particulier sur l'appréciation du taux d'incapacité du recourant. L'autorité de recours ne peut dès lors pas se prononcer. Compte tenu de ce qui précède, le recours du 23 novembre 2012 doit être admis, la décision du 23 octobre 2012 annulée et la cause renvoyée à l'autorité inférieure qui rendra une nouvelle décision après avoir complété l'instruction. 8.1 Le recourant ayant eu partiellement gain de cause dans le sens d'un renvoi de la cause à l'autorité inférieure (cf. ATF 132 V 215 consid. 6.2), il n'est pas perçu de frais de procédure (art. 63 PA). L'avance de frais de 400 francs lui est remboursée. 8.2 Le recourant est représenté. Ayant eu partiellement gain de cause, il lui est alloué une indemnité de dépens de 1'000 francs (art. 7 ss du règlement du 21 février 2008 concernant les frais, dépens et indemnités fixés par le Tribunal administratif fédéral [FITAF, RS 173.320.2]). L'OAIE, en sa qualité d'autorité, n'y a pas droit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