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C-6115/2011 vom 2. April 2014</w:t>
      </w:r>
    </w:p>
    <w:p>
      <w:r>
        <w:t>Bundesverwaltungsgericht, 2014-04-02, DE</w:t>
      </w:r>
    </w:p>
    <w:p>
      <w:r>
        <w:rPr>
          <w:b/>
        </w:rPr>
        <w:t xml:space="preserve">Quelle: </w:t>
      </w:r>
      <w:r>
        <w:t>https://mcp.opencaselaw.ch/entscheid/bvger_C-6115_2011</w:t>
      </w:r>
    </w:p>
    <w:p>
      <w:r>
        <w:t>FR: TAF C-6115/2011 du 2 avril 2014</w:t>
      </w:r>
    </w:p>
    <w:p>
      <w:r>
        <w:t>IT: TAF C-6115/2011 del 2 aprile 2014</w:t>
      </w:r>
    </w:p>
    <w:p>
      <w:pPr>
        <w:pStyle w:val="Heading2"/>
      </w:pPr>
      <w:r>
        <w:t>Regeste</w:t>
      </w:r>
    </w:p>
    <w:p>
      <w:r>
        <w:t>Erleichterte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auch Verfügungen des BFM betreffend erleichterte Einbürgerung (vgl. Art. 51 BüG).</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als Verfügungsadressat gemäss Art. 48 Abs. 1 VwVG zur Beschwerde berechtigt.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2011/43 E. 6.1, BVGE 2011/1 E. 2 und BVGE 2007/41 E. 2).</w:t>
      </w:r>
    </w:p>
    <w:p>
      <w:r>
        <w:rPr>
          <w:b/>
        </w:rPr>
        <w:t>E. 3</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Die Einbürgerung setzt zudem voraus, dass die ausländische Person in der Schweiz integriert ist, die schweizerische Rechtsordnung beachtet und die innere oder äussere Sicherheit der Schweiz nicht gefährdet (vgl. Art. 26 Abs. 1 BüG). Gemäss Wortlaut und Wortsinn von Art. 27 Abs. 1 BüG müssen sämtliche Einbürgerungsvoraussetzungen sowohl im Zeitpunkt der Gesuchseinreichung als auch anlässlich der Einbürgerungsverfügung erfüllt sein (vgl. BGE 135 II 161 E. 2 S. 165 mit Hinweisen).</w:t>
      </w:r>
    </w:p>
    <w:p>
      <w:r>
        <w:rPr>
          <w:b/>
        </w:rPr>
        <w:t>E. 4.1</w:t>
      </w:r>
    </w:p>
    <w:p>
      <w:r>
        <w:t>Integration bedeutet die Aufnahme der ausländischen Person in die schweizerische Gemeinschaft und die Bereitschaft der betreffenden Person, sich in das gesellschaftliche Umfeld einzufügen, ohne deswegen ihre Eigenart und Staatsangehörigkeit preiszugeben (vgl. Botschaft vom 26. August 1987 zur Änderung des Bürgerrechtsgesetzes, BBl 1987 293 Ziff. 22.2 S. 404 bzw. Botschaft vom 21. November 2001 zum Bürgerrecht für junge Ausländerinnen und Ausländer und zur Revision des Bürgerrechtsgesetzes, BBl 2002 19911 Ziff. 2.2.1.3 S 1942 mit Hinweisen sowie Ziff. 2.5.3.1 S 1957 f.). Die Integration wird heute allgemein als gegenseitiger Annäherungsprozess zwischen der einheimischen und der ausländischen Bevölkerung betrachtet. Ziel der Integration ist demnach das Zusammenleben der einheimischen und der ausländischen Wohnbevölkerung auf der Grundlage der Werte der Bundesverfassung und gegenseitiger Achtung und Toleranz (Art. 4 Abs. 1 des Ausländergesetzes vom 16. Dezember 2005 [AuG, SR 142.20]). Die Integration soll längerfristig und rechtmässig anwesenden Ausländerinnen und Ausländern ermöglichen, am wirtschaftlichen, sozialen und kulturellen Leben der Gesellschaft teilzuhaben (Abs. 2). Die Integration setzt sowohl den entsprechenden Willen der Ausländerinnen und Ausländer als auch die Offenheit der schweizerischen Bevölkerung voraus (Abs. 3). Es ist erforderlich, dass sich die Ausländerinnen und Ausländer mit den gesellschaftlichen Verhältnissen und Lebensbedingungen auseinandersetzen und insbesondere eine Landessprache erlernen (Abs. 4).</w:t>
      </w:r>
    </w:p>
    <w:p>
      <w:r>
        <w:rPr>
          <w:b/>
        </w:rPr>
        <w:t>E. 4.2</w:t>
      </w:r>
    </w:p>
    <w:p>
      <w:r>
        <w:t>Der Beschwerdeführer wohnt seit 17 Jahren in der Schweiz und lebt seit fast 14 Jahren in ehelicher Gemeinschaft mit einer Schweizer Bürgerin, womit er die formellen Voraussetzungen für die erleichterte Einbürgerung zweifellos erfüllt. Er ist zudem Familienvater und seit Oktober 2006 im Besitze der Niederlassungsbewilligung. Ferner ist auch seitens der Vorinstanz unbestritten, dass er im Sinne von Art. 26 Abs. 1 Bst. a BüG und gemäss den vorstehenden Erwägungen in der Schweiz in wirtschaftlicher, kultureller und sozialer Hinsicht integriert ist (vgl. dazu den Erhebungsbericht des Gemeindeamts des Kantons Zürich vom 21. Oktober 2008).</w:t>
      </w:r>
    </w:p>
    <w:p>
      <w:r>
        <w:rPr>
          <w:b/>
        </w:rPr>
        <w:t>E. 5</w:t>
      </w:r>
    </w:p>
    <w:p>
      <w:r>
        <w:t>Die Vorinstanz begründet die Verweigerung der erleichterten Einbürgerung hauptsächlich mit der Gefährdung der äusseren Sicherheit der Schweiz, weil sie davon ausgeht, durch die Einbürgerung des Beschwerdeführers würden die bilateralen Beziehungen der Schweiz mit Chile ernsthaft gefährdet.</w:t>
      </w:r>
    </w:p>
    <w:p>
      <w:r>
        <w:rPr>
          <w:b/>
        </w:rPr>
        <w:t>E. 5.1</w:t>
      </w:r>
    </w:p>
    <w:p>
      <w:r>
        <w:t>Die innere und äussere Sicherheit der Schweiz gemäss Art. 26 Abs. 1 Bst. c BüG - bzw. Art. 14 Bst. d BüG bezüglich der ordentlichen Einbürgerung - ist ein Begriff, der auch in anderen Rechtsgebieten verwendet wird. So hielt etwa Art. 70 der Bundesverfassung der Schweizerischen Eidgenossenschaft vom 29. Mai 1874 (altBV, BS 1 3) fest, dem Bund stehe das Recht zu, Fremde, welche die innere und äussere Sicherheit der Eidgenossenschaft gefährden, aus dem schweizerischen Gebiete wegzuweisen. Nach Art. 185 Abs. 1 und 2 der Bundesverfassung der Schweizerischen Eidgenossenschaft vom 18. April 1999 (BV, SR 102) trifft der Bundesrat Massnahmen zur Wahrung der inneren und äusseren Sicherheit der Schweiz. Von einem Einbürgerungskandidaten darf verlangt werden, dass er sich zu den demokratischen Institutionen des Landes bekennt. Bewerber, deren Haltung Gewalt als Mittel der politischen Auseinandersetzung nicht zweifelsfrei ausschliesst, können von der Einbürgerung ausgeschlossen werden. Gefährdet ein Gesuchsteller durch sein Verhalten die innere oder äussere Sicherheit der Schweiz, so würde seine Einbürgerung den Interessen des Staates widersprechen. In diesen Fällen muss die Einbürgerung unterbleiben. Ist die Gefährdung der inneren und äusseren Sicherheit bloss vorübergehender Natur, so kann die Einbürgerungsbewilligung erteilt werden, sobald kein Sicherheitsrisiko mehr besteht (vgl. Urteil des Bundesverwaltungsgerichts C-1122/2006 vom 11. Januar 2008 E. 3.3; Botschaft zur Änderung des Bürgerrechtsgesetzes vom 26. August 1987, in BBl III 305).</w:t>
      </w:r>
    </w:p>
    <w:p>
      <w:r>
        <w:rPr>
          <w:b/>
        </w:rPr>
        <w:t>E. 5.2</w:t>
      </w:r>
    </w:p>
    <w:p>
      <w:r>
        <w:t>Wenn es um die Beurteilung einer Gefährdung der inneren und äusseren Sicherheit geht, holt das BFM im Zusammenhang mit einer Einbürgerung regelmässig die Stellungnahme des NDB (früher DAP) als Fachbehörde ein. Der DAP kam in seiner Stellungnahme vom 17. Juni 2009 (wiedergegeben in einer Notiz des BFM vom 15. November 2011) zum Schluss, dass der Beschwerdeführer seit der Asylgewährung (recte: seit der Anerkennung als Flüchtling) nicht ungünstig aufgefallen sei, und somit kein Grund bestehe, ihm die Einbürgerung zu verweigern. Tatsächlich hat der Beschwerdeführer seit vielen Jahren nichts mehr mit seiner Vergangenheit als poltischer Aktivist in Chile zu tun. Offensichtlich gibt es auch keine Verbindungen zur FPMR mehr, welche im Übrigen den bewaffneten Widerstand gegen den chilenischen Staat im Dezember 1997 einstellte und heute in Chile am demokratischen Prozess teilnimmt. Soweit sich dies aus den Akten ergibt, führt der Beschwerdeführer in der Schweiz ein Leben als gewöhnlicher Einwohner und ist bis jetzt nicht durch ein Verhalten aufgefallen, das beispielsweise auf eine Befürwortung von Gewalt als Mittel der politischen Auseinandersetzung schliessen lässt.</w:t>
      </w:r>
    </w:p>
    <w:p>
      <w:r>
        <w:rPr>
          <w:b/>
        </w:rPr>
        <w:t>E. 5.3</w:t>
      </w:r>
    </w:p>
    <w:p>
      <w:r>
        <w:t>Das BFM befürchtet - gestützt auf die diesbezügliche Stellungnahme des EDA vom 22. März 2010 - eine (zusätzliche) Belastung der bilateralen Beziehungen zwischen der Schweiz und Chile, wenn die Einbürgerung des Beschwerdeführers publik würde. Dass Chile nicht unbedingt erfreut wäre, wenn der Beschwerdeführer eingebürgert würde, ist angesichts der früheren diplomatischen Spannungen zwischen der Schweiz und Chile im Zusammenhang mit der Anerkennung des Beschwerdeführers als Flüchtling und der dadurch verhinderten Auslieferung nachvollziehbar. Solche diplomatischen Spannungen (das EDA spricht in seiner Stellungnahme lediglich von Unmutsäusserungen seitens des chilenischen Staates) mit einer Gefährdung der äusseren Sicherheit gleichzusetzen ist - wie vom Beschwerdeführer in seiner Rechtsmitteleingabe ausgeführt - jedoch abwegig. Das grössere Ärgernis für den chilenischen Staat war mit Sicherheit die damalige Flüchtlingsanerkennung, welche die Auslieferung des Beschwerdeführers verhinderte. Wenn er jetzt auch noch eingebürgert würde, hätte dies gegenüber den damaligen diplomatischen Spannungen bzw. Reaktionen kaum weitergehende Folgen. Selbst wenn die Einbürgerung des Beschwerdeführers - entgegen den bisherigen Ausführungen - Einfluss auf die wirtschaftlichen Beziehungen der beiden Länder haben sollte, würde dies aber noch lange nicht eine Gefährdung der äusseren Sicherheit der Schweiz bedeuten. Im Übrigen setzt der Tatbestand von Art. 26 Abs. 1 Bst. c BüG ein entsprechendes Verhalten des Beschwerdeführers voraus (vgl. Ziff. 5.1 vorstehend). In casu begründet das BFM die Gefährdung der äusseren Sicherheit jedoch mit einem Verwaltungsakt (Einbürgerung) und den daraus folgenden Reaktionen und nicht mit dem Verhalten des Beschwerdeführers seit seiner Einreise in die Schweiz im Jahre 1997. Wie bereits ausgeführt und vom DAP bestätigt, kann aufgrund des Verhaltens des Beschwerdeführers in der Schweiz nicht auf eine Gefährdung der inneren und äusseren Sicherheit geschlossen werden.</w:t>
      </w:r>
    </w:p>
    <w:p>
      <w:r>
        <w:rPr>
          <w:b/>
        </w:rPr>
        <w:t>E. 6.1</w:t>
      </w:r>
    </w:p>
    <w:p>
      <w:r>
        <w:t>Die erleichterte Einbürgerung setzt schliesslich voraus, dass der Bewerber die schweizerische Rechtsordnung beachtet (Art. 26 Abs. 1 Bst. b BüG). Er muss mithin einen guten straf- und betreibungsrechtlichen Leumund haben (vgl. hierzu die Botschaft zur Änderung des Bürgerrechtsgesetzes vom 26. August 1987, in BBl 1987 III 305 u. 309). In der Praxis wird von einem Einbürgerungswilligen verlangt, dass er in den letzten fünf Jahren vor der erleichterten Einbürgerung die Rechtsordnung der Schweiz sowie allfälliger anderer Aufenthaltsstaaten eingehalten hat. Ferner dürfen keine ungelöschten Vorstrafen vorliegen und keine Strafverfahren gegen ihn hängig sein. Diese Einbürgerungspraxis sieht zudem vor, trotz bestehendem Strafregistereintrag eine Einbürgerung ausnahmsweise zuzulassen, falls es sich um eine Verurteilung zu einer bedingten kurzen Haftstrafe oder einer Geldstrafe handelt. Gelöschte Einträge sind in jedem Fall nicht mehr relevant. Darüber hinaus darf der Betroffene in der fraglichen Zeit generell keine Delikte begangen haben, für welche er auch noch nach der erleichterten Einbürgerung eine Strafverfolgung oder eine Verurteilung zu gewärtigen hat (vgl. Urteile des Bundesverwaltungsgerichts C-2466/2008 vom 27. Juni 2011 E. 5.3.4 und C 1929/2007 vom 8. Mai 2009 E. 6.).</w:t>
      </w:r>
    </w:p>
    <w:p>
      <w:r>
        <w:rPr>
          <w:b/>
        </w:rPr>
        <w:t>E. 6.2</w:t>
      </w:r>
    </w:p>
    <w:p>
      <w:r>
        <w:t>Massgebend für den strafrechtlichen Leumund ist das Strafregister. Gemäss Mitteilung des BJ vom 4. September 2013 ist der Beschwerdeführer nicht im Strafregister verzeichnet. Mit Ausnahme einer Strafuntersuchung im Jahre 2012 wegen Hinderung einer Amtshandlung und Besitzes von Kokain, welche in Bezug auf den ersten Vorwurf am 7. März 2013 eingestellt und bezüglich des Verstosses gegen das BetmG am 4. März 2013 mit einer geringfügigen Busse geahndet wurde, hat er sich im massgebenden Zeitraum wohlverhalten und die Rechtsordnung der Schweiz beachtet. Diese Busse trübt zwar den strafrechtlichen Leumund des Beschwerdeführers, ist aber wegen der Geringfügigkeit und insbesondere wegen des Umstandes, dass sie nicht zu einem Eintrag im Strafregister führte, für die Beurteilung der Beachtung der Rechtsordnung im Zusammenhang mit der erleichterten Einbürgerung belanglos. Soweit aktenkundig liegen gegen den Beschwerdeführer auch keine Betreibungen vor. Die Ausführungen der Vorinstanz, wonach die vom Beschwerdeführer im Februar 1991 in Chile verübte Straftat auch nach schweizerischen Recht mit einer zehnjährigen Freiheitsstrafe geahndet worden wäre und diese erst im Jahre 2018 aus dem Strafregister gelöscht würde, sind rein hypothetischer Natur. Abgesehen davon, dass das BFM noch im September 2005 von einer hypothetischen Löschung im Strafregister im Jahre 2007 ausging, hinkt dieser Vergleich noch aus einem anderen Grund: Das gegen den Beschwerdeführer in Chile durchgeführte Strafverfahren ist - wie von der ARK im Urteil vom 29. Juni 2005 festgehalten - mit einem Polit-Malus behaftet (von der chilenischen Militärjustiz und den mitbeteiligten Sicherheitskräften durchgeführt), weswegen die Straftat auch nicht als Verbrechen von derartiger Schwere beurteilt wurde, die einen Ausschluss von der Flüchtlingseigenschaft zu rechtfertigen vermochte (vgl. Bst. C vorstehend). Hinzu kommt, dass seit dieser Tat über 23 Jahre vergangen sind, weshalb sie dem Beschwerdeführer unter dem Aspekt von Art. 26 Abs. 1 Bst. b BüG nicht mehr zur Last gelegt werden kann.</w:t>
      </w:r>
    </w:p>
    <w:p>
      <w:r>
        <w:rPr>
          <w:b/>
        </w:rPr>
        <w:t>E. 7</w:t>
      </w:r>
    </w:p>
    <w:p>
      <w:r>
        <w:t>Im Rahmen einer Gesamtwürdigung gelangt das Bundesverwaltungsgericht daher zum Schluss, dass der Beschwerdeführer in der Schweiz im Sinne von Art. 26 Abs. 1 Bst. a BüG integriert ist und die schweizerische Rechtsordnung gemäss Art. 26 Abs. 1 Bst b BüG genügend beachtet hat. Zudem liegen keine Anhaltspunkte für eine Gefährdung der inneren und äusseren Sicherheit der Schweiz (Art. 26 Abs. 1 Bst. c BüG) vor.</w:t>
      </w:r>
    </w:p>
    <w:p>
      <w:r>
        <w:rPr>
          <w:b/>
        </w:rPr>
        <w:t>E. 8</w:t>
      </w:r>
    </w:p>
    <w:p>
      <w:r>
        <w:t>Zusammenfassend ist festzustellen, dass die Vorinstanz dem Beschwerdeführer die erleichterte Einbürgerung zu Unrecht verweigert hat und somit Bundesrecht verletzt hat (Art. 49 VwVG). Die Beschwerde ist demzufolge gutzuheissen.</w:t>
      </w:r>
    </w:p>
    <w:p>
      <w:r>
        <w:rPr>
          <w:b/>
        </w:rPr>
        <w:t>E. 9</w:t>
      </w:r>
    </w:p>
    <w:p>
      <w:r>
        <w:t>Bei diesem Ausgang des Verfahrens sind dem Beschwerdeführer keine Kosten aufzuerlegen (Art. 63 Abs. 1 e contrario VwVG), und es ist ihm zu Lasten der Vorinstanz für die ihm erwachsenen notwendigen Kosten eine angemessene Parteientschädigung zuzusprechen (Art. 64 Abs. 1 VwVG). Die vom Beschwerdeführer in seiner Honorarnote vom 5. März 2012 geforderte Entschädigung von Fr. 1'713.40 für den bis zu jenem Zeitpunkt geleisteten Aufwand ist gemessen an Art. 10 und Art. 11 des Reglements vom 21. Februar 2008 über die Kosten und Entschädigungen vor dem Bundesverwaltungsgericht (VGKE, SR 173.320.2) plausibel. Zusätzlich zu entschädigen ist noch der notwendige Aufwand, der nach der Einreichung der Honorarnote entstanden ist (vgl. Eingabe vom 11. Dezember 2013 betr. Einstellung der Strafuntersuchung). Demnach ist die Parteientschädigung auf insgesamt Fr. 2'000.- (inkl. MwSt.) festzusetzen.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