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C-6111/2010 vom 11. September 2014</w:t>
      </w:r>
    </w:p>
    <w:p>
      <w:r>
        <w:t>Bundesverwaltungsgericht, 2014-09-11, DE</w:t>
      </w:r>
    </w:p>
    <w:p>
      <w:r>
        <w:rPr>
          <w:b/>
        </w:rPr>
        <w:t xml:space="preserve">Quelle: </w:t>
      </w:r>
      <w:r>
        <w:t>https://mcp.opencaselaw.ch/entscheid/bvger_C-6111_2010</w:t>
      </w:r>
    </w:p>
    <w:p>
      <w:r>
        <w:t>FR: TAF C-6111/2010 du 11 septembre 2014</w:t>
      </w:r>
    </w:p>
    <w:p>
      <w:r>
        <w:t>IT: TAF C-6111/2010 del 11 settembre 2014</w:t>
      </w:r>
    </w:p>
    <w:p>
      <w:pPr>
        <w:pStyle w:val="Heading2"/>
      </w:pPr>
      <w:r>
        <w:t>Regeste</w:t>
      </w:r>
    </w:p>
    <w:p>
      <w:r>
        <w:t>Beitragsverfügung der Auffangeinrichtung</w:t>
      </w:r>
    </w:p>
    <w:p>
      <w:pPr>
        <w:pStyle w:val="Heading2"/>
      </w:pPr>
      <w:r>
        <w:t>Erwägungen</w:t>
      </w:r>
    </w:p>
    <w:p>
      <w:r>
        <w:rPr>
          <w:b/>
        </w:rPr>
        <w:t>E. 1.1</w:t>
      </w:r>
    </w:p>
    <w:p>
      <w:r>
        <w:t>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sofern keine Ausnahme nach Art. 32 VGG vorliegt. Die Stiftung Auffang­einrichtung BVG ist eine Vorinstanz im Sinn von Art. 33 Bst. h VGG, zumal diese im Bereich der beruflichen Vorsorge öffentlich-rechtliche Aufgaben des Bundes erfüllt (Art. 60 BVG).</w:t>
      </w:r>
    </w:p>
    <w:p>
      <w:r>
        <w:rPr>
          <w:b/>
        </w:rPr>
        <w:t>E. 1.1.1</w:t>
      </w:r>
    </w:p>
    <w:p>
      <w:r>
        <w:t>Die Vorinstanz hat die Dispositiv-Ziffern 3 und 6 der angefochtenen Verfügung vom 27. Juli 2010 während des hängigen Beschwerdeverfahrens mit Verfügung vom 10. Dezember 2010 in Wiedererwägung gezogen und die Beitragsforderung reduziert.</w:t>
      </w:r>
    </w:p>
    <w:p>
      <w:r>
        <w:rPr>
          <w:b/>
        </w:rPr>
        <w:t>E. 1.1.2</w:t>
      </w:r>
    </w:p>
    <w:p>
      <w:r>
        <w:t>Erlässt die Verwaltung lite pendente eine Wiedererwägungs­ver­fügung im Sinne von Art. 58 Abs. 1 VwVG, so tritt diese an die Stelle der früheren Ver­fügung (Andrea Pfleiderer, in: Waldmann/Weissen­berger [Hrsg.], Praxis­kom­men­tar zum Bundesgesetz über das Ver­waltungs­verfahren, Zürich/Basel/Genf 2009, N. 44 zu Art. 58). Sofern diese neue Verfügung die Begehren der be­schwerde­führenden Person nur teilweise erfüllt, ist eine Abschreibung infolge Gegenstandslosigkeit unzulässig und die neue Verfügung gilt als mitan­ge­fochten im fortzu­setzenden Verfahren (vgl. dazu August Mächler, in: Auer/Müller/Schindler [Hrsg.], Kommen­tar zum Bundesgesetz über das Ver­waltungs­verfahren, Zürich/St. Gallen 2008, N. 18 zu Art. 58; Pfleiderer, a.a.O., N. 52 zu Art. 58). Anfechtungs­objekt bilden somit die Beitragsver­fügung der Vorinstanz vom 27. Juli 2010, soweit sie durch die Wiedererwägungsverfügung vom 10. De­zem­ber 2010 nicht ersetzt worden ist, sowie die Wiedererwägungs­ver­fü­gung selbst.</w:t>
      </w:r>
    </w:p>
    <w:p>
      <w:r>
        <w:rPr>
          <w:b/>
        </w:rPr>
        <w:t>E. 1.1.3</w:t>
      </w:r>
    </w:p>
    <w:p>
      <w:r>
        <w:t>Sowohl die Beitrags- als auch die Wiedererwägungs­verfügung stellen Verfügungen im Sinne von Art. 5 des Bundesgesetzes über das Ver­waltungsverfahren vom 20. Dezember 1968 (Verwaltungsverfah­rens­gesetz, VwVG, SR 172.021) dar. Da keine Ausnahme nach Art. 32 VGG gegeben ist, ist das Bundesverwaltungsgericht zur Beurteilung der vor­liegenden Beschwerde zuständig.</w:t>
      </w:r>
    </w:p>
    <w:p>
      <w:r>
        <w:rPr>
          <w:b/>
        </w:rPr>
        <w:t>E. 1.2</w:t>
      </w:r>
    </w:p>
    <w:p>
      <w:r>
        <w:t>Die Beschwerdeführerin hat am Verfahren vor der Vorinstanz teil­ge­nommen, ist durch den angefochtenen Entscheid besonders berührt und hat an dessen Aufhebung oder Änderung ein schutzwürdiges In­te­resse (Art. 48 Abs. 1 VwVG). Die Beschwerde wurde frist- und formgerecht eingereicht (Art. 50 Abs. 1 und Art. 52 Abs. 1 VwVG), und die Beschwerdeführerin hat den einver­langten Kostenvorschuss innert der gesetzten Frist bezahlt (BVGer act. 4). Auf die Beschwerde ist daher einzutreten.</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2.1</w:t>
      </w:r>
    </w:p>
    <w:p>
      <w:r>
        <w:t>Die Beschwerdeführerin bemängelt im Wesentlichen die Berechnung der Beitragsforderung. Die Vorinstanz habe zu ihren Meldungen über den Austritt von Mitarbeitern die entsprechenden Mutationen nicht vorgenommen und Forderungen nicht reduziert. Obwohl sie der Vorinstanz mehrmals mitgeteilt habe, dass die Beitragsberechnung nicht korrekt sei, habe nie eine entsprechende Berichtigung stattgefunden. Zudem fordert sie in all ihren Eingaben die Zustellung einer korrekten und vor allem nachvollziehbaren Abrechnung. Sinngemäss rügt die Beschwerdeführerin damit eine Verletzung des rechtlichen Gehörs.</w:t>
      </w:r>
    </w:p>
    <w:p>
      <w:r>
        <w:rPr>
          <w:b/>
        </w:rPr>
        <w:t>E. 2.1.1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U 152 S. 199 E. 2e). Gemäss Art. 35 Abs. 1 VwVG müssen schriftliche Verfügungen grundsätzlich immer begründet werden.</w:t>
      </w:r>
    </w:p>
    <w:p>
      <w:r>
        <w:rPr>
          <w:b/>
        </w:rPr>
        <w:t>E. 2.1.2</w:t>
      </w:r>
    </w:p>
    <w:p>
      <w:r>
        <w:t>Die Begründungspflicht ist ein Teilgehalt des verfassungsmässigen Anspruchs auf rechtliches Gehör gemäss Art. 29 Abs. 2 der Bundesverfassung der Schweizerischen Eidgenossenschaft vom 18. April 1999 (BV, SR 101; vgl. auch Art. 35 Abs. 1 VwVG sowie Ulrich Häfelin/Walter Haller/Helen Keller, Schweizerisches Bundesstaatsrecht, 8. Aufl., Zürich 2012, Rz. 838). Sie soll verhindern, dass sich die verfügende Behörde von unsachlichen Motiven leiten lässt, und es den Betroffenen ermöglicht,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BGE 124 V 180 E. 1a, BVGE 2012/23 E. 6.1.2, je mit Hinweisen).</w:t>
      </w:r>
    </w:p>
    <w:p>
      <w:r>
        <w:rPr>
          <w:b/>
        </w:rPr>
        <w:t>E. 2.1.3</w:t>
      </w:r>
    </w:p>
    <w:p>
      <w:r>
        <w:t>Das Bundesverwaltungsgericht hat in seinem Urteil C-1899/2011 vom 15. Oktober 2013, E.4.3 ausgeführt, welche Angaben eine Beitragsverfügung zu enthalten hat, damit die Anforderungen an die Begründungspflicht erfüllt sind, nämlich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Vorliegend sind sowohl die Beitragsverfügung vom 27. Juli 2010 als auch die Wiedererwägungsverfügung vom 10. Dezember 2010 sehr rudimentär gehalten. Es ist lediglich eine Forderungssumme von total Fr. 7'597.90 für Beiträge des 1. Quartals 2009 bis zum 1. Quartal 2010 angegeben, jedoch nicht genügend belegt, wie sich der eingeforderte Beitrag berechnet. Es fehlen Angaben zur Versicherungsdauer, zu den AHV-Löhnen, den koordinierten Löhnen und zu den Beitragssätzen der versicherten Personen. Mit dem pauschalen Verweis auf die Höhe des Verzugszinses und auf Sollzinsen seit Fälligkeitsdatum sowie die Höhe der Mahn-, Inkasso- und Betreibungskosten ist diesen Anforderungen jedenfalls nicht Genüge getan. Die Vorinstanz hat ihrer Verfügung auch keine detaillierte Übersicht darüber, wie sich die Beiträge zusammensetzen, beigelegt. Die angefochtene Verfügung erfüllt die Erfordernisse an eine Beitragsverfügung nicht ansatzweise. Der Beschwerdeführerin war es damit nicht möglich, die Tragweite des Entscheides zu erkennen, indem ihr lediglich die angeblich geschuldeten Beiträge mitgeteilt wurden. Dies erlaubt es der Beschwerdeführerin zudem nicht, die Verfügung sachgerecht anzufechten. Die Vorinstanz ist ihrer Begründungspflicht daher nicht nachgekommen, worin eine Verletzung des rechtlichen Gehörs zu erblicken ist (vgl. dazu Urteil des Bundesverwaltungsgerichts C-7809/2009 vom 29. März 2012 E. 2.3).</w:t>
      </w:r>
    </w:p>
    <w:p>
      <w:r>
        <w:rPr>
          <w:b/>
        </w:rPr>
        <w:t>E. 2.1.4</w:t>
      </w:r>
    </w:p>
    <w:p>
      <w:r>
        <w:t>Nach ständiger Praxis kann eine nicht besonders schwerwiegende Verletzung des rechtlichen Gehörs wie erwähnt geheilt werden, wenn die betroffene Person die Möglichkeit erhält, sich vor einer Beschwerdeinstanz zu äussern, die sowohl den Sachverhalt wie die Rechtslage frei überprüfen kann. Die Heilung eines allfälligen Mangels soll aber die Ausnahme bleiben (BGE 132 V 387 E. 5.1,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BGE 132 V 387 E. 5.1). Ein Anspruch auf einen materiellen Entscheid der Rechtsmittelinstanz besteht im Falle einer Gehörsverletzung aber nicht. Zudem darf die Heilung nicht dazu dienen, (systematisch) Verfahrensmängel im Gerichtsverfahren zu beheben (BGE 116 V 182 E. 1b). Eine Heilung der Verletzung des rechtlichen Gehörs steht vorliegend ausser Frage, zumal die Berechnung der Beitragsforderung aufgrund der vor­handenen unvollständigen Akten sich auch im Beschwerdeverfahren nicht schlüssig und widerspruchsfrei herleiten lässt. In diesem Zusammenhang ist die Vorinstanz auf ihre Aktenführungspflicht als Teilaspekt des An­spruchs auf rechtliches Gehör aufmerksam zu machen (vgl. Urteile des Bundesverwaltungsgerichts C-7924/2009 vom 4. Januar 2012 E. 6 und C-7868/2009 vom 19. März 2012 E. 4.2). Im Übrigen ist die Vorinstanz daran zu erinnern, dass sie in ihrer Rolle als Rechtsöffnungsrichterin im Sinne von Art. 60 Abs. 2bis BVG die Beschwerdeführerin als Gegenpartei nach Eingang des Rechtsöffnungsgesuchs zu einer Stellungnahme einzuladen hat (vgl. Urteil des Bundesverwaltungsgericht C-3802/2012 vom 17. Juli 2013 E. 9.1).</w:t>
      </w:r>
    </w:p>
    <w:p>
      <w:r>
        <w:rPr>
          <w:b/>
        </w:rPr>
        <w:t>E. 3</w:t>
      </w:r>
    </w:p>
    <w:p>
      <w:r>
        <w:t>Zusammenfassend ist festzuhalten, dass die Forderung der Vorinstanz gemäss den angefochtenen Verfügungen mangels hinreichender Begrün­dung und mangels vollständiger Akten nicht nachvollzogen werden kann. Die Vorinstanz hat ihre Begründungspflicht in schwerwiegender Weise verletzt, und eine Heilung ist im vorliegenden Beschwerdeverfahren nicht möglich. Die Beschwerde ist daher gutzuheissen, die Verfügungen vom 27. Juli 2010 und 10. Dezember 2010 sind aufzuheben und die Sache ist zum Erlass einer neuen, ausreichend detailliert und nachvollziehbar begründeten Verfügung betreffend die von der Beschwerdeführerin geschuldeten BVG-Beiträge an die Vorinstanz zurückzuweisen.</w:t>
      </w:r>
    </w:p>
    <w:p>
      <w:r>
        <w:rPr>
          <w:b/>
        </w:rPr>
        <w:t>E. 4.1</w:t>
      </w:r>
    </w:p>
    <w:p>
      <w:r>
        <w:t>Zu befinden bleibt über die Verfahrenskosten und eine allfällige Parteientschädigung.</w:t>
      </w:r>
    </w:p>
    <w:p>
      <w:r>
        <w:rPr>
          <w:b/>
        </w:rPr>
        <w:t>E. 4.2</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900.- der Beschwerdeführerin nach Eintritt der Rechtskraft des vorliegenden Urteils auf ein von ihr anzugebendes Konto zurückzuerstatten ist. Der Vorinstanz werden keine Verfahrenskosten auferlegt (Art. 63 Abs. 2 VwVG).</w:t>
      </w:r>
    </w:p>
    <w:p>
      <w:r>
        <w:rPr>
          <w:b/>
        </w:rPr>
        <w:t>E. 5</w:t>
      </w:r>
    </w:p>
    <w:p>
      <w:r>
        <w:t>Der obsiegenden, jedoch nicht anwaltlich vertretenen Beschwerdeführerin sind keine verhältnismässig hohe Kosten im Sinne von Art. 64 Abs. 1 VwVG entstanden, weshalb ihr keine Parteientschädigung auszurichten ist. Die Vorinstanz hat keinen Anspruch auf Ausrichtung einer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