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C-6100/2009 vom 31. Mai 2010</w:t>
      </w:r>
    </w:p>
    <w:p>
      <w:r>
        <w:t>Bundesverwaltungsgericht, 2010-05-31, DE</w:t>
      </w:r>
    </w:p>
    <w:p>
      <w:r>
        <w:rPr>
          <w:b/>
        </w:rPr>
        <w:t xml:space="preserve">Quelle: </w:t>
      </w:r>
      <w:r>
        <w:t>https://mcp.opencaselaw.ch/entscheid/bvger_C-6100_2009</w:t>
      </w:r>
    </w:p>
    <w:p>
      <w:r>
        <w:t>FR: TAF C-6100/2009 du 31 mai 2010</w:t>
      </w:r>
    </w:p>
    <w:p>
      <w:r>
        <w:t>IT: TAF C-6100/2009 del 31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BVGE 2009/27 E. 4). Namentlich müssen Ausländerinnen und Ausländer für die gesicherte Wiederausreise Gewähr bieten, wenn nur ein vorübergehender Aufenthalt vorgesehen ist (Art. 5 Abs. 2 AuG, vgl. BVGE 2009/27 E. 5).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als kosovarische Staatsangehörige der Visumspflicht.</w:t>
      </w:r>
    </w:p>
    <w:p>
      <w:r>
        <w:rPr>
          <w:b/>
        </w:rPr>
        <w:t>E. 6.1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6.2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Am 17. Februar 2008 erklärte das kosovarische Parlament die Unabhängigkeit des Landes, die am 26. Februar 2008 von der Schweiz und mittlerweile von 65 Staaten völkerrechtlich anerkannt wurde.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zwar zeigte sich in den letzten Jahren ein starkes Wachstum, die Arbeitslosigkeit bleibt jedoch hartnäckig hoch. So sind mehr als die Hälfte der Erwerbsfähigen ohne oder zumindest ohne regelmässiges Einkommen. Zudem stellt die Armut ein weit verbreitetes Phänomen dar: Der Anteil der in Armut lebenden Bevölkerung liegt bei hohen rund 45 %, wobei 17 % der Einwohner gar von extremer Armut betroffen sind (Quellen: Weltbank, www.worldbank.org &gt; Countries &gt; Kosovo &gt; Overview &gt; Country Brief 2010, Stand: April 2010; Deutsches Auswärtiges Amt, www.auswaertiges-amt.de &gt; Länder, Reisen und Sicherheit &gt; Reise- und Sicherheitshinweise &gt; Kosovo &gt; Rubriken Wirtschafts- und Innenpolitik, Stand April 2010; beide Seiten besucht am 25. Mai 2010). Vor diesem Hintergrund besteht vielfach ein Wunsch zur Auswanderung, welcher sich besonders stark bei ungebundenen Personen manifestiert. Ein im Ausland bereits bestehendes, minimales soziales Beziehungsnetz aus Verwandten oder Freunden ist zudem ein wichtiges Element, das den Entscheid auszuwandern erleichtern kann. Dementsprechend hoch ist der Zuwanderungsdruck aus der Heimatregion der Gesuchstellerin, was sich auch in der schweizerischen Asylstatistik widerspiegelt. So stammten im Jahr 2009 4,3% der Asylsuchenden aus dem Kosovo, der damit in der Statistik der Asylgesuche nach Nationen - mit insgesamt 694 Gesuchen - an siebter Stelle stand (Quelle: Bundesamt für Migration, www.bfm.admin.ch&gt; Themen&gt;Statistiken&gt;Asylstatistik&gt;Jahresstatisti-ken&gt;kommentierte Asylstatistik 2009, S. 10). Seit dem 1. April 2009 gilt der Kosovo zwar als verfolgungssicherer Staat (Safe Country), dies gemäss Beschluss des Bundesrates vom 6. März 2009. Es wird sich aber zeigen müssen, ob und falls ja, welchen Einfluss dies auf künftige Asylbewerberzahlen haben wird. Immerhin stellten im 3. Quartal 2009 noch 179 Personen aus dem Kosovo hier ein Asylgesuch; im 4. Quartal sank diese Zahl auf 151 (Quelle: Bundesamt für Migration, a.a.O.&gt;Themen&gt;Statistiken&gt;Asylstatistik&gt;Monatsstatistiken&gt;Asylstatistiken 2009&gt;Asylstatistik 3. und 4. Quartal 2009).</w:t>
      </w:r>
    </w:p>
    <w:p>
      <w:r>
        <w:rPr>
          <w:b/>
        </w:rPr>
        <w:t>E. 6.4</w:t>
      </w:r>
    </w:p>
    <w:p>
      <w:r>
        <w:t>Die geschilderten Umstände im Heimatland der Gesuchstellerin deuten zwar auf das latente Risiko einer nicht fristgerechten Wiederausreise hin; sie entbinden die Vorinstanz aber nicht von einer einzelfallbezogenen Beurteilung. Namentlich können berufliche, gesellschaftliche oder familiäre Verpflichtungen die Prognose für eine anstandslose Wiederausreise begünstigen.</w:t>
      </w:r>
    </w:p>
    <w:p>
      <w:r>
        <w:rPr>
          <w:b/>
        </w:rPr>
        <w:t>E. 6.5</w:t>
      </w:r>
    </w:p>
    <w:p>
      <w:r>
        <w:t>Bei der Gesuchstellerin handelt es sich um eine 28-jährige unverheiratete und kinderlose Frau, welche keiner Erwerbstätigkeit nachgeht, sondern aufgrund einer Gehbehinderung eine kleine Invalidenrente bezieht. Hinweise auf besondere berufliche Verpflichtungen lassen sich somit den Akten nicht entnehmen. Es kann demnach nicht davon ausgegangen werden, die Gesuchstellerin lebe in wirtschaftlich günstigen Verhältnissen, welche sie verlässlich von einer Emigration abzuhalten vermöchten. Der Beschwerdeführer macht in seiner Rechtsmitteleingabe geltend, die Gesuchstellerin lebe mit ihrer Mutter zusammen in einem Einfamilienhaus und wolle und müsse deshalb zurückkehren. Zudem würden eine Schwester sowie weitere Verwandte der Gesuchstellerin im Kosovo leben. Hinweise auf besondere gesellschaftliche oder familiäre Verpflichtungen, welche die Gesuchstellerin ernsthaft von einer Emigration abhalten könnten, lassen sich aber den Akten nicht entnehmen. Ein Bruder sowie eine Schwester der Gesuchstellerin sind in die Schweiz ausgewandert und eine weitere Schwester lebt in Deutschland. Es kann demnach auf einen konkreten Migrationswillen im nächsten Umfeld der Gesuchstellerin geschlossen werden. Zudem verfügt sie über ein bestehendes verwandtschaftliches soziales Beziehungsnetz in der Schweiz und in Deutschland, was einen allenfalls bestehenden Auswanderungswillen noch akzentuieren könnte. Vor diesem Hintergrund müssen die Beteuerungen des Beschwerdeführers auf Rechtsmittelebene, wonach genügend Garantien für eine fristgerechte Wiederausreise vorhanden seien, sowie das gleichzeitig eingereichte Schreiben des Pfarrers von Gjakova als nicht ausschlaggebend bezeichnet werden.</w:t>
      </w:r>
    </w:p>
    <w:p>
      <w:r>
        <w:rPr>
          <w:b/>
        </w:rPr>
        <w:t>E. 7</w:t>
      </w:r>
    </w:p>
    <w:p>
      <w:r>
        <w:t>Gestützt auf die vorstehenden Erwägungen durfte die Vorinstanz zu Recht davon ausgehen, die Wiederausreise der Gesuchstellerin sei im Sinne der massgeblichen Bestimmungen nicht gesichert. Diese Einschätzung lässt sich auch mit den Beteuerungen des Beschwerdeführers und seiner Bereitschaft zur Unterzeichnung einer Verpflichtungserklärung nicht grundlegend in Frage stellen.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Der Gastgeber kann zwar für gewisse finanzielle Risiken im Zusammenhang mit dem Besuchsaufenthalt, mangels rechtlicher und faktischer Durchsetzbarkeit nicht aber für ein bestimmtes Verhalten seines Gastes garantieren (vgl. BVGE 2009/27 E. 9). Die Integrität des Gastgebers - welche im Falle des Beschwerdeführers nicht anzuzweifeln ist - kann daher nicht ausschlaggebend sein.</w:t>
      </w:r>
    </w:p>
    <w:p>
      <w:r>
        <w:rPr>
          <w:b/>
        </w:rPr>
        <w:t>E. 8</w:t>
      </w:r>
    </w:p>
    <w:p>
      <w:r>
        <w:t>Aus den genannten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demnach abzuweisen.</w:t>
      </w:r>
    </w:p>
    <w:p>
      <w:r>
        <w:rPr>
          <w:b/>
        </w:rPr>
        <w:t>E. 9</w:t>
      </w:r>
    </w:p>
    <w:p>
      <w:r>
        <w:t>Entsprechend dem Ausgang des Verfahrens sind dem Beschwerdeführer die Kosten des Verfahrens aufzuerlegen (Art. 63 Abs. 1 VwVG). Die Verfahrenskosten sind auf Fr. 700.--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