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C-609/2012 vom 4. April 2013</w:t>
      </w:r>
    </w:p>
    <w:p>
      <w:r>
        <w:t>Bundesverwaltungsgericht, 2013-04-04, DE</w:t>
      </w:r>
    </w:p>
    <w:p>
      <w:r>
        <w:rPr>
          <w:b/>
        </w:rPr>
        <w:t xml:space="preserve">Quelle: </w:t>
      </w:r>
      <w:r>
        <w:t>https://mcp.opencaselaw.ch/entscheid/bvger_C-609_2012</w:t>
      </w:r>
    </w:p>
    <w:p>
      <w:r>
        <w:t>FR: TAF C-609/2012 du 4 avril 2013</w:t>
      </w:r>
    </w:p>
    <w:p>
      <w:r>
        <w:t>IT: TAF C-609/2012 del 4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das Visumsgesuch eines tunesischen Staatsangehörigen, der für drei Monate zu einem Besuchsaufenthalt in die Schweiz einreisen möchte. Da er sich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Tunesien zu diesen Staaten zählt, unterliegt der Gesuchsteller der Visumspflicht.</w:t>
      </w:r>
    </w:p>
    <w:p>
      <w:r>
        <w:rPr>
          <w:b/>
        </w:rPr>
        <w:t>E. 5.2</w:t>
      </w:r>
    </w:p>
    <w:p>
      <w:r>
        <w:t>Im vorliegenden Fall hat die Vorinstanz bezweifelt, dass der Gesuchsteller die Schweiz bzw. den Schengen-Raum wieder anstandslos verlassen würde, und dies sowohl mit der wirtschaftlichen und innenpolitischen Situation in seinem Heimatland als auch mit seinen persönlichen Verhältnissen begründet. Zu der somit im Vordergrund stehenden Frage der gesicherten Wiederausreise könnten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Mehr als zwei Jahre nach dem Sturz des Diktators Ben Ali am 14. Januar 2011 ist Tunesien noch keine stabile Demokratie. Am 23. Oktober 2011 wurde eine verfassungsgebende Nationalversammlung gewählt, welche eine neue Verfassung verabschieden sowie neue Parlaments- und Präsidentschaftswahlen vorbereiten soll. Die am 24. Dezember 2011 unter Premierminister Jebali ernannte Übergangsregierung amtierte bis zu dessen Rücktritt am 19. Februar 2013, der die Konsequenz seines erfolglosen Versuchs war, eine Technokraten-Regierung aufzustellen. Jebali hatte diese für notwendig erachtet, um nach dem Mord an dem Oppositionspolitiker Chokri Belaid am 6. Februar 2013 das Vertrauen in der Bevölkerung zu stärken. Die neue Regierungsbildung unter Premierminister Ali Larayeth wurde am 7. März 2013 abgeschlossen. Die ursprünglich für das Frühjahr 2013 vorgesehene Abstimmung über eine neue Verfassung sowie die daran anschliessende Durchführung von Neuwahlen wird sich durch die neue politische Krise verzögern und vermutlich erst am Jahresende stattfinden. Die bereits anfänglich von der Übergangsregierung eingesetzten Gouverneure verfügen nicht über ausreichende Legitimität, um mittel- oder langfristige Entscheidungen zu treffen und hierdurch die regionale Entwicklung zu fördern. Die Unzufriedenheit in der Bevölkerung ist dadurch hoch, auch weil sich die wirtschaftliche Situation schwierig ge-staltet und ausländische Investoren aufgrund der instabilen politischen Lage zurückhaltend reagieren. Die Arbeitslosenrate liegt landesweit bei mehr als 23 Prozent, ist aber im Landesinnern teilweise doppelt so hoch. Die Sicherheitslage ist angespannt (Quellen: Deutsches Auswärtiges Amt, http://www.auswaertiges-amt.de &gt; Aussen- und Europapolitik &gt; Länderinformationen &gt; Tunesien &gt; Innenpolitik [Stand: Februar 2013, besucht im März 2013]; Neue Zürcher Zeitung vom 14. Dezember 2012 S. 7 "Tunesien tastet sich taumelnd voran" und vom 9. März 2013 S. 3 "Neue Regierung in Tunesien").</w:t>
      </w:r>
    </w:p>
    <w:p>
      <w:r>
        <w:rPr>
          <w:b/>
        </w:rPr>
        <w:t>E. 6.2</w:t>
      </w:r>
    </w:p>
    <w:p>
      <w:r>
        <w:t>Vor diesem Hintergrund ist nachvollziehbar, dass sich ein Wunsch nach Auswanderung vor allem bei denjenigen manifestiert, die bereits über ein minimales Beziehungsnetz im Ausland verfügen. Deutlich wird diese Tendenz an den erheblich gestiegenen Zahlen tunesischer Asylbewerber. Während in den Jahren 2009 und 2010 lediglich 209 bzw. 358 Gesuche gestellt wurden, stieg deren Anzahl nach der Revolution sprunghaft an; mit 2574 Gesuchen im Jahr 2011 und 2239 Gesuchen im Jahr 2012 stand Tunesien bereits an zweiter bzw. dritter Stelle der Asyl-Herkunftsländer (Quelle: Bundesamt für Migration, http://www.bfm.admin. ch &gt; Dokumentation &gt; Zahlen und Fakten &gt; Asylstatistik &gt; Jahresstatistiken &gt; Jahresstatistik 2009, 2010, 2011 und 2012).</w:t>
      </w:r>
    </w:p>
    <w:p>
      <w:r>
        <w:rPr>
          <w:b/>
        </w:rPr>
        <w:t>E. 7</w:t>
      </w:r>
    </w:p>
    <w:p>
      <w:r>
        <w:t>Der in Tunis lebende Gesuchsteller hat sich schon in den Jahren 2003 und 2009 besuchsweise in der Schweiz aufgehalten. 2009, ebenfalls Gast der Beschwerdeführerin, hatte er erfolglos um Verlängerung seines Aufenthalts ersucht und war erst nach Ablauf des 90-tätigen Visums ausgereist (vgl. Aktennotiz des Kantons Aargau vom 18. Mai 2009). Auch wenn diese Umstände nicht zwingend gegen seinen jetzigen Rückkehrwillen sprechen, so ist doch festzustellen, dass sich die Situation in Tunesien seit seinem letzten Besuch grundlegend geändert hat und dies seine Zukunftspläne beeinflussen dürfte.</w:t>
      </w:r>
    </w:p>
    <w:p>
      <w:r>
        <w:rPr>
          <w:b/>
        </w:rPr>
        <w:t>E. 7.1</w:t>
      </w:r>
    </w:p>
    <w:p>
      <w:r>
        <w:t>A._______ ist ledig und ohne familiäre Verpflichtungen. Bereits dies legt den Gedanken nahe, dass er - wie viele andere junge Männer aus seinem Heimatland - den Wunsch hegen könnte, nach Europa auszuwandern. Fraglich ist, ob dieser Einschätzung sein berufliches Engagement als Basketballspieler entgegensteht. Es sei dahingestellt, ob sein Einkommen, welches sich in den Monaten vor seinem Einreisegesuch auf jeweils 1200 Dinar (ca. 756 Franken) belief, als ein für tunesische Verhältnisse relativ niedriges Einkommen bezeichnet werden kann. Allerdings ist der Vorinstanz darin recht zu geben, dass der Gesuchsteller, nunmehr fast 33 Jahre alt, auf das Ende seiner Sportlerkarriere zusteuert. Nicht von der Hand zu weisen ist auch das Argument, dass sein beabsichtigter dreimonatiger Auslandsaufenthalt kaum mit den beruflichen Notwendigkeiten von regelmässigem Training und Spielpraxis zu vereinbaren wäre. Von daher besteht eine nicht geringe Wahrscheinlichkeit, dass A._______ mit seiner Einreise in die Schweiz andere als Besuchszwecke verbindet. In diesem Zusammenhang ist festzustellen, dass bereits zwei seiner Brüder in der Schweiz leben und mit der Gründung eines Gastronomiebetriebs offensichtlich ihr finanzielles Auskommen gefunden haben (vgl. Schreiben der Migrationsbehörde des Kantons Solothurn an das BFM vom 13. Dezember 2011).</w:t>
      </w:r>
    </w:p>
    <w:p>
      <w:r>
        <w:rPr>
          <w:b/>
        </w:rPr>
        <w:t>E. 7.2</w:t>
      </w:r>
    </w:p>
    <w:p>
      <w:r>
        <w:t>Die Beschwerdeführerin hat keine Gründe genannt, die für die anstandslose Wiederausreise ihres Gastes sprechen könnten, sondern lediglich behauptet, ihr Gast wolle in der Schweiz Ferien machen, seine Familienangehörigen treffen und danach wieder fristgemäss in sein Heimatland zurückkehren. Auch wenn an der Ernsthaftigkeit dieser Beteuerungen keine Zweifel bestehen, so kann darauf nicht abgestellt werden. Gastgeber können zwar für gewisse finanzielle Risiken im Zusammenhang mit einem Besuchsaufenthalt garantieren, nicht jedoch für die tatsächlichen Absichten und ein bestimmtes Verhalten ihrer Gäste (vgl. BVGE 2009/27 E. 9).</w:t>
      </w:r>
    </w:p>
    <w:p>
      <w:r>
        <w:rPr>
          <w:b/>
        </w:rPr>
        <w:t>E. 8</w:t>
      </w:r>
    </w:p>
    <w:p>
      <w:r>
        <w:t>Vor dem aufgezeigten Hintergrund durfte die Vorinstanz zu recht annehmen, die Wiederausreise des Gesuchstellers sei nicht gesichert. Die Voraussetzungen für die Erteilung eines sogenannten "einheitlichen Visums" - gültig für den gesamten Schengen-Raum - sind somit nicht erfüllt. Es sind auch keine Gründe ersichtlich, welche die Ausstellung eines Einreisevisums mit räumlich beschränkter Gültigkeit (vgl. E. 4.5) erfordern würden.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