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C-6092/2018 vom 13. Oktober 2020</w:t>
      </w:r>
    </w:p>
    <w:p>
      <w:r>
        <w:t>Bundesverwaltungsgericht, 2020-10-13, DE</w:t>
      </w:r>
    </w:p>
    <w:p>
      <w:r>
        <w:rPr>
          <w:b/>
        </w:rPr>
        <w:t xml:space="preserve">Quelle: </w:t>
      </w:r>
      <w:r>
        <w:t>https://mcp.opencaselaw.ch/entscheid/bvger_C-6092_2018</w:t>
      </w:r>
    </w:p>
    <w:p>
      <w:r>
        <w:t>FR: TAF C-6092/2018 du 13 octobre 2020</w:t>
      </w:r>
    </w:p>
    <w:p>
      <w:r>
        <w:t>IT: TAF C-6092/2018 del 13 ottobre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Das Verfahren vor dem Bundesverwaltungsgericht richtet sich grundsätzlich nach dem VwVG (Art. 31 VGG). Die Bestimmungen des ATSG (SR 830.1) sind vorliegend nicht anwendbar (vgl. Art. 1 Abs. 1 und 2 Bst. b KVG [SR 832.10]). Die Beschwerdeführerin ist als Adressatin der angefochtenen Verfügung durch diese besonders berührt und hat ein schutzwürdiges Interesse an deren Aufhebung oder Abänderung, weshalb sie zur Erhebung der Beschwerde legitimiert ist (Art. 48 Abs. 1 VwVG). Nachdem der Kostenvorschuss rechtzeitig geleistet worden ist, ist auf die frist- und formgerecht eingereichte Beschwerde vom 24. Oktober 2018 einzutreten (Art. 22a Abs. 1 Bst. c, 50 Abs. 1, 52, 63 Abs. 4 VwVG).</w:t>
      </w:r>
    </w:p>
    <w:p>
      <w:r>
        <w:rPr>
          <w:b/>
        </w:rPr>
        <w:t>E. 2</w:t>
      </w:r>
    </w:p>
    <w:p>
      <w:r>
        <w:t>Anfechtungsobjekt bildet die Verfügung vom 21. September 2018, mit welcher im Rahmen der Überprüfung der Aufnahmebedingungen alle drei Jahre der Publikumspreis (PP) des von der Beschwerdeführerin vertriebenen Arzneimittels B._______ nach Durchführung von APV und TQV per 1. Dezember 2018 von Fr. (...) auf Fr. (...) gesenkt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Dies gilt, solange nicht ernsthafte Gründe ein Abweichen von der Expertenmeinung rechtfertigen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21. September 2018 in Kraft standen. Dazu gehören namentlich das KVG (SR 832.10) mit der Änderung vom 25. September 2015 (AS 2017 4095, in Kraft seit 1. September 2017), die KVV (SR 832.102) mit der Änderung vom 1. Februar 2017 (AS 2017 623, in Kraft seit 1. März 2017) und die Verordnung des EDI vom 29. September 1995 über Leistungen in der obligatorischen Krankenpflegeversicherung (KLV; SR 832.112.31) mit der Änderung vom 1. Februar 2017 (AS 2017 633, in Kraft seit 1. März 2017).</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Voraussetzung für die Übernahme der Medikamentenkosten durch die obligatorische Krankenpflegeversicherung (vgl.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Ein in der Spezialitätenliste aufgeführtes Arzneimittel wird unter anderem gestrichen, wenn es nicht mehr alle Aufnahmebedingungen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w:t>
      </w:r>
    </w:p>
    <w:p>
      <w:r>
        <w:rPr>
          <w:b/>
        </w:rPr>
        <w:t>E. 4.8</w:t>
      </w:r>
    </w:p>
    <w:p>
      <w:r>
        <w:t>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w:t>
      </w:r>
    </w:p>
    <w:p>
      <w:r>
        <w:rPr>
          <w:b/>
        </w:rPr>
        <w:t>E. 4.9</w:t>
      </w:r>
    </w:p>
    <w:p>
      <w:r>
        <w:t>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Dabei werden diejenigen Originalpräparate berücksichtigt, die zum Zeitpunkt der Überprüfung in der Spezialitätenliste aufgeführt sind und zur Behandlung derselben Krankheit eingesetzt werden (Art. 34f Abs. 1 KLV).</w:t>
      </w:r>
    </w:p>
    <w:p>
      <w:r>
        <w:rPr>
          <w:b/>
        </w:rPr>
        <w:t>E. 4.10</w:t>
      </w:r>
    </w:p>
    <w:p>
      <w:r>
        <w:t>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SL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w:t>
      </w:r>
    </w:p>
    <w:p>
      <w:r>
        <w:t>Nicht strittig ist, dass für das Arzneimittel B._______ nach wie vor eine gültige Zulassung des Schweizerischen Heilmittelinstituts (Swissmedic) vorliegt (vgl. &lt; www.swissmedic.ch &gt; Services und Listen &gt; Listen und Verzeichnisse &gt; Humanarzneimittel &gt; Liste zugelassene Arzneimittel, abgerufen am 05.08.2020) und die Zulassungsvoraussetzungen der Wirksamkeit und Zweckmässigkeit noch erfüllt sind. Bei der Überprüfung der Wirtschaftlichkeit ist sodann der durchgeführte APV unbestritten. Umstritten ist hingegen der TQV. Die Vorinstanz hat den TQV einzig mit dem Arzneimittel C._______ durchgeführt. Das errechnete TQV-Niveau von Fr. (...) liegt in der Folge 28.8622754 % unter den aktuellen Tagestherapiekosten von B._______ (vgl. act. 1 samt Beilage TQV).</w:t>
      </w:r>
    </w:p>
    <w:p>
      <w:r>
        <w:rPr>
          <w:b/>
        </w:rPr>
        <w:t>E. 5.1</w:t>
      </w:r>
    </w:p>
    <w:p>
      <w:r>
        <w:t>Die Beschwerdeführerin rügt im Wesentlichen, die Vorinstanz habe Art. 65b Abs. 4bis KVV und Art. 34f Abs. 1 KLV verletzt, weil sie die Arzneimittel D._______ und E._______ nicht in den TQV einbezogen habe. Die Indikationen der Arzneimittel D._______, E._______ und C._______ seien ähnlich wie bei B._______. Faktisch seien alle Arzneimittel für die gleiche Indikation zugelassen, nämlich für die Behandlung von (...). Die Arzneimittel würden sich in Bezug auf den ([Angaben zur Wirkungsweise]) Wirkstoff unterscheiden. Während in B._______ und C._______ ein F._______ (Wirkstoffart) für die ([Angaben zur Wirkungsweise]) Wirkung sorge, seien es bei D._______ und E._______ G._______ (Wirkstoffart). Laut Fachinformation habe das in B._______ enthaltene F._______ (Wirkstoffart; [Name des Wirkstoffs]) eine gute Wirksamkeit gegen ([Angaben zum Wirkungsbereich]). Überdies sei die ([die Wirkstoffart G._______ betreffende]) Wirksamkeit von B._______, D._______ und E._______ vergleichbar (BVGer act. 1 Rz. 9 ff.). Replikweise bringt die Beschwerdeführerin vor, die Vorinstanz verkenne die rechtlichen Vorgaben zum TQV und zur pflichtgemässen Ermessenausübung, wenn sie davon ausgehe, sie habe eine Pflicht oder auch ein Recht, die Vergleichsgruppe auf das billigste Arzneimittel (nicht unbedingt das kostengünstigste) zu reduzieren, und andere Therapiealternativen mit gutem Kosten-/Nutzenverhältnis einfach zu vernachlässigen (BVGer act. 19 Rz. 54).</w:t>
      </w:r>
    </w:p>
    <w:p>
      <w:r>
        <w:rPr>
          <w:b/>
        </w:rPr>
        <w:t>E. 5.2</w:t>
      </w:r>
    </w:p>
    <w:p>
      <w:r>
        <w:t>Demgegenüber führt die Vorinstanz aus, D._______ und E._______ würden neben einem H._______ (Wirkstoffart) und I._______ (Wirkstoffart) (Substanz zur Behandlung von [...]) zusätzlich ein G._______ (Wirkstoffart) beinhalten. Demgegenüber würden B._______ und C._______ als dritte Substanz ein F._______ (Wirkstoffart) enthalten. Auch wenn die ([die Wirkstoffarten F._______ und G._______ betreffenden]) Wirkstoffe der genannten Arzneimittel vergleichbare minimale Hemmkonzentrationen aufweisen würden, so stellten D._______ und E._______ dennoch keine Therapiealternativen zu B._______ dar. Aus den von Swissmedic zugelassenen Indikationen der Arzneimittel würden unterschiedliche Einsatzgebiete in der Praxis resultieren. F._______ (Wirkstoffart) würden besonders als ([Mittel]) zur Vorbeugung von ([Angaben zur Krankheitsart]) eingesetzt, G._______ (Wirkstoffart) würden in der Regel bei bereits bestehenden ([Angaben zur Krankheitsart]) zur Anwendung gelangen. Die ([die Wirkstoffart G._______ enthaltenden]) Präparate (D._______ und E._______) seien daher ([Angaben zu den Indikationen]) indiziert. B._______ und C._______ seien indiziert bei (...). Damit werde klar, dass sich die Indikation von B._______ mehr am ([die Wirkstoffart I._______ betreffenden]) Effekt orientiere. C._______ bilde aufgrund seiner vergleichbaren Zusammensetzung aus H._______ (Wirkstoffart), I._______ (Wirkstoffart) und F._______ (Wirkstoffart) und der zugelassenen Indikation die bessere Therapiealternative zu B._______. Der Arzt verschreibe die Arzneimittel je nach Patient, Vorgeschichte, ([weitere Angaben zur Art der Erkrankung]). Dabei wähle er entweder ein Arzneimittel mit F._______ (Wirkstoffart) oder ein Arzneimittel mit G._______ (Wirkstoffart) (BVGer act. 11 Rz. 14, vgl. auch act. 1, Beilage TQV, 3. Rückmeldung des BAG). Selbst wenn D._______ und E._______ Therapiealternativen wären, so könnten sie dennoch vom TQV ausgeschlossen werden, da sie viel teurer als die ([die Wirkstoffart F._______ enthaltenden]) Arzneimittel B._______ und C._______ seien und ein Vergleich mit diesen Arzneimitteln nicht dem Kostengünstigkeitsprinzip entsprechen würde (BVGer act. 11 Rz. 28).</w:t>
      </w:r>
    </w:p>
    <w:p>
      <w:r>
        <w:rPr>
          <w:b/>
        </w:rPr>
        <w:t>E. 6</w:t>
      </w:r>
    </w:p>
    <w:p>
      <w:r>
        <w:t>Nachfolgend gilt es zu prüfen, ob der von der Vorinstanz durchgeführte TQV hinsichtlich der getroffenen Auswahl des Vergleichspräparates den rechtlichen Anforderungen entspricht.</w:t>
      </w:r>
    </w:p>
    <w:p>
      <w:r>
        <w:rPr>
          <w:b/>
        </w:rPr>
        <w:t>E. 6.1</w:t>
      </w:r>
    </w:p>
    <w:p>
      <w:r>
        <w:t>Ein Arzneimittel gilt nach Art. 65b Abs. 1 KVV als wirtschaftlich, wenn es die indizierte Heilwirkung mit möglichst geringem finanziellem Aufwand gewährleistet.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369 E. 5.3.2).</w:t>
      </w:r>
    </w:p>
    <w:p>
      <w:r>
        <w:rPr>
          <w:b/>
        </w:rPr>
        <w:t>E. 6.1.1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(vgl. Urteil des BVGer C-7112/2017 vom 26. September 2019 E. 7.3.1 mit Hinweis auf die im Zusammenhang mit der Anwendung von Art. 34 Abs. 1 KLV [in der bis 28. Februar 2017 in Kraft gestanden Fassung] ergangene Rechtsprechung, insbesondere BGE 143 V 369 E. 6).</w:t>
      </w:r>
    </w:p>
    <w:p>
      <w:r>
        <w:rPr>
          <w:b/>
        </w:rPr>
        <w:t>E. 6.1.2</w:t>
      </w:r>
    </w:p>
    <w:p>
      <w:r>
        <w:t>Nach der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191 E. 5a; Urteile des BGer 9C_792/2016 vom 27. November 2017 E. 6.2 mit weiteren Hinweisen; 9C_354/2017 vom 26. Januar 2018 E. 8.1).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6.1.3</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Eine Pflicht, die Vergleichsgruppe aus sämtlichen in Frage kommenden (d.h. vergleichbaren) Arzneimitteln zu bilden,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(vgl. BGE 143 V 369 E. 5.3.2). Gleich wirksame, aber überdurchschnittlich teure Arzneimittel können nach der Rechtsprechung vom TQV ausgeschlossen werden, um zu verhindern, dass das Preisniveau hoch bleibt (vgl. Urteil des BVGer C-6115/2018 vom 7. Mai 2020 E. 7.3.3). Zu prüfen bleibt in jedem Einzelfall, ob die Vorinstanz bei der Auswahl der Vergleichspräparate ihr weites Ermessen sachgerecht ausgeübt hat.</w:t>
      </w:r>
    </w:p>
    <w:p>
      <w:r>
        <w:rPr>
          <w:b/>
        </w:rPr>
        <w:t>E. 6.2</w:t>
      </w:r>
    </w:p>
    <w:p>
      <w:r>
        <w:t>Ausgangspunkt für die Prüfung der Vergleichbarkeit von Arzneimitteln bilden die jeweiligen Fachinformationen.</w:t>
      </w:r>
    </w:p>
    <w:p>
      <w:r>
        <w:rPr>
          <w:b/>
        </w:rPr>
        <w:t>E. 6.2.1</w:t>
      </w:r>
    </w:p>
    <w:p>
      <w:r>
        <w:t>Das Arzneimittel B._______ ist laut Fachinformation indiziert bei ([Angaben zur Indikation]) (BVGer act. 1 Beilage 6).</w:t>
      </w:r>
    </w:p>
    <w:p>
      <w:r>
        <w:rPr>
          <w:b/>
        </w:rPr>
        <w:t>E. 6.2.2</w:t>
      </w:r>
    </w:p>
    <w:p>
      <w:r>
        <w:t>Das Arzneimittel C._______ wird laut Fachinformation angewendet für ([Angaben zur Indikation]) (vgl. www.compendium.ch, abgerufen am 05.08.2020).</w:t>
      </w:r>
    </w:p>
    <w:p>
      <w:r>
        <w:rPr>
          <w:b/>
        </w:rPr>
        <w:t>E. 6.2.3</w:t>
      </w:r>
    </w:p>
    <w:p>
      <w:r>
        <w:t>Das Arzneimittel D._______ wird laut Fachinformation angewendet für (BVGer act. 1 Beilage 7) ([Angaben zur Indikation]).</w:t>
      </w:r>
    </w:p>
    <w:p>
      <w:r>
        <w:rPr>
          <w:b/>
        </w:rPr>
        <w:t>E. 6.2.4</w:t>
      </w:r>
    </w:p>
    <w:p>
      <w:r>
        <w:t>Das Arzneimittel E._______ ist laut Fachinformation indiziert für die Behandlung von ([Angaben zur Indikation]) (BVGer act. 1 Beilage 8).</w:t>
      </w:r>
    </w:p>
    <w:p>
      <w:r>
        <w:rPr>
          <w:b/>
        </w:rPr>
        <w:t>E. 6.3</w:t>
      </w:r>
    </w:p>
    <w:p>
      <w:r>
        <w:t>Aus den Indikationen gemäss Fachinformationen ergibt sich, dass B._______ und C._______ in erster Linie zur Behandlung von (...) indiziert sind. Demgegenüber werden D._______ und E._______ bei (...) eingesetzt. Entsprechend enthalten D._______ und E._______ neben H._______ (Wirkstoffart) und I._______ (Wirkstoffart) zusätzlich ein G._______ (Wirkstoffart), wogegen B._______ und C._______ als dritte Substanz ein F._______ (Wirkstoffart) enthalten. Es trifft zwar zu, dass laut Fachinformation das in B._______ enthaltene F._______ (Wirkstoffart; [Name des Wirkstoffs]) eine ([Angaben zur Wirkungsweise]) Wirkung hat. Dies ändert jedoch nichts an der Indikation von B._______, wonach das Arzneimittel speziell bei (...) zur Anwendung gelangt. Aufgrund der Indikationen gemäss den von Swissmedic genehmigten Fachinformationen und mit Blick auf das bei der Auswahl der Vergleichspräparate der Vorinstanz zustehende weite Ermessen ist nicht zu beanstanden, dass die Vorinstanz erwogen hat, B._______ und C._______ würden sich am ([die Wirkstoffart I._______ betreffenden]) Effekt orientieren und könnten daher nicht mit D._______ und E._______, die explizit auch bei ([die Wirkstoffart G._______ betreffenden Erkrankungen]) indiziert seien, verglichen werden.</w:t>
      </w:r>
    </w:p>
    <w:p>
      <w:r>
        <w:rPr>
          <w:b/>
        </w:rPr>
        <w:t>E. 6.4</w:t>
      </w:r>
    </w:p>
    <w:p>
      <w:r>
        <w:t>Ergänzend ist darauf hinzuweisen, dass selbst wenn von einer Vergleichbarkeit von B._______ mit D._______ und E._______ ausgegangen würde, kein Anspruch darauf bestünde, diese Arzneimittel auch tatsächlich im TQV von B._______ zu berücksichtigen. Es ist insbesondere zulässig, überdurchschnittlich teure Arzneimittel vom TQV auszuschliessen. Denn nach der Rechtsprechung ist entsprechend den Bestrebungen des Gesetzgebers zur Kosteneindämmung im Gesundheitswesen beim TQV zu prüfen, ob gleich wirksame und zweckmässige Arzneimittel zur Verfügung stehen, welche kostengünstiger als das zu überprüfende Arzneimittel sind (vgl. E. 6.1.3 vorstehend). Die Tagestherapiekosten von B._______ betragen Fr. (...), diejenigen von C._______ Fr. (...) (vgl. act. 1 S. 5). Für D._______ und E._______ errechnete die Beschwerdeführerin Tagestherapiekosten von Fr. (...) bzw. Fr. (...) (vgl. BVGer act. 1 Beilage 11 Tabelle TQV). Entgegen den Ausführungen der Vorinstanz sind die Tagestherapiekosten von D._______ und E._______ demnach nur knapp 4 % teurer als diejenigen von B._______. Hingegen liegen die Tagestherapiekosten von D._______ und E._______ rund 45 % über denjenigen von C._______. Angesichts dessen erscheint der von der Vorinstanz postulierte Ausschluss von D._______ und E._______ aus dem TQV, um zu verhindern, dass das Preisniveau im Vergleichskorb hoch bleibt, als mit der Rechtsprechung vereinbar, zumal mit C._______ ein gleich wirksames, wesentlich billigeres Vergleichsarzneimittel mit einer weitgehend übereinstimmenden Indikation vorliegt.</w:t>
      </w:r>
    </w:p>
    <w:p>
      <w:r>
        <w:rPr>
          <w:b/>
        </w:rPr>
        <w:t>E. 6.5</w:t>
      </w:r>
    </w:p>
    <w:p>
      <w:r>
        <w:t>Soweit die Beschwerdeführerin die mit D._______ und E._______ vergleichbare ([die Wirkstoffart G._______ betreffende]) Wirkung von B._______ postuliert, ist anzumerken, dass die Wirksamkeit als solche kein Kriterium für die Auswahl der Vergleichspräparate darstellt. Die Vergleichspräparate müssen - ausgehend von den Fachinformationen - eine Therapiealternative zur Behandlung einer bestimmten Erkrankung darstellen, was im vorliegenden Fall nicht zutrifft (vgl. Urteile des BVGer C-491/2018 vom 29. Januar 2020 E. 7.7.1; C-519/2015 E. 9.10).</w:t>
      </w:r>
    </w:p>
    <w:p>
      <w:r>
        <w:rPr>
          <w:b/>
        </w:rPr>
        <w:t>E. 6.6</w:t>
      </w:r>
    </w:p>
    <w:p>
      <w:r>
        <w:t>Zusammenfassend ergibt sich, dass die Vorinstanz den TQV in nachvollziehbarer und sachgerechter Weise vorgenommen hat und nicht zu beanstanden ist. Damit erweist sich die Beschwerde als unbegründet und ist abzuweisen.</w:t>
      </w:r>
    </w:p>
    <w:p>
      <w:r>
        <w:rPr>
          <w:b/>
        </w:rPr>
        <w:t>E. 7.1</w:t>
      </w:r>
    </w:p>
    <w:p>
      <w:r>
        <w:t>Dem Verfahrensausgang entsprechend sind die Verfahrenskosten der Beschwerdeführerin aufzuerlegen (Art. 63 Abs. 1 VwVG). Diese sind unter Berücksichtigung des Streitwerts sowie des Umfangs und der Schwierigkeit der Streitsache, der Art der Prozessführung und der finanziellen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7.2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