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C-6092/2013 vom 22. Januar 2014</w:t>
      </w:r>
    </w:p>
    <w:p>
      <w:r>
        <w:t>Bundesverwaltungsgericht, 2014-01-22, DE</w:t>
      </w:r>
    </w:p>
    <w:p>
      <w:r>
        <w:rPr>
          <w:b/>
        </w:rPr>
        <w:t xml:space="preserve">Quelle: </w:t>
      </w:r>
      <w:r>
        <w:t>https://mcp.opencaselaw.ch/entscheid/bvger_C-6092_2013</w:t>
      </w:r>
    </w:p>
    <w:p>
      <w:r>
        <w:t>FR: TAF C-6092/2013 du 22 janvier 2014</w:t>
      </w:r>
    </w:p>
    <w:p>
      <w:r>
        <w:t>IT: TAF C-6092/2013 del 22 gennaio 2014</w:t>
      </w:r>
    </w:p>
    <w:p>
      <w:pPr>
        <w:pStyle w:val="Heading2"/>
      </w:pPr>
      <w:r>
        <w:t>Regeste</w:t>
      </w:r>
    </w:p>
    <w:p>
      <w:r>
        <w:t>Tarife der Leistungserbringer</w:t>
      </w:r>
    </w:p>
    <w:p>
      <w:pPr>
        <w:pStyle w:val="Heading2"/>
      </w:pPr>
      <w:r>
        <w:t>Erwägungen</w:t>
      </w:r>
    </w:p>
    <w:p>
      <w:r>
        <w:rPr>
          <w:b/>
        </w:rPr>
        <w:t>E. 1</w:t>
      </w:r>
    </w:p>
    <w:p>
      <w:r>
        <w:t>Die Zuständigkeit des Bundesverwaltungsgerichts zur Beurteilung der vorliegenden Beschwerde ergibt sich aus Art. 53 Abs. 1 bzw. Art. 90a Abs. 2 KVG. Das Beschwerdeverfahren richtet sich grundsätzlich nach dem VwVG, wobei Art. 53 Abs. 2 KVG jedoch - im Sinne der Verfahrensstraffung - verschiedene Ausnahmen statuiert.</w:t>
      </w:r>
    </w:p>
    <w:p>
      <w:r>
        <w:rPr>
          <w:b/>
        </w:rPr>
        <w:t>E. 2</w:t>
      </w:r>
    </w:p>
    <w:p>
      <w:r>
        <w:t>Die Beschwerde richtet sich formell gegen den RRB X._______ (provisorische Tariffestsetzung).</w:t>
      </w:r>
    </w:p>
    <w:p>
      <w:r>
        <w:rPr>
          <w:b/>
        </w:rPr>
        <w:t>E. 2.1</w:t>
      </w:r>
    </w:p>
    <w:p>
      <w:r>
        <w:t>Die in Art. 53 Abs. 1 KVG aufgeführten Beschlüsse von Kantonsregierungen sind unabhängig davon, ob sie als Verfügungen im Sinne von Art. 5 VwVG zu qualifizieren sind, grundsätzlich beim Bundesverwaltungsgericht anfechtbar (vgl. auch Botschaft zur Totalrevision der Bundesrechtspflege vom 28. Februar 2001 [BBl 2001 4202], S. 4391). Entsprechend den Art. 44 - Art. 46 VwVG ist jedoch zu unterscheiden, ob es sich um End- oder Zwischenentscheide handelt.</w:t>
      </w:r>
    </w:p>
    <w:p>
      <w:r>
        <w:rPr>
          <w:b/>
        </w:rPr>
        <w:t>E. 2.2</w:t>
      </w:r>
    </w:p>
    <w:p>
      <w:r>
        <w:t>Die Abgrenzung zwischen Endverfügungen (im Sinne von Art. 44 VwVG) und Zwischenverfügungen (im Sinne von Art. 46 VwVG) ist entsprechend der Praxis des Bundesgerichts zu Art. 90 ff. des Bundesgerichtsgesetzes vom 17. Juni 2005 (BGG, SR 173.110) vorzunehmen (vgl. Felix Uhlmann/Simone Wälle-Bär in: Bernhard Waldmann/Philippe Weissenberger [Hrsg.], Praxiskommentar VwVG, Zürich 2009, Art. 44 N 12). Vor- und Zwischenentscheide sind nach der Rechtsprechung des Bundesgerichts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(BGE 136 V 131 E. 1.1.2 mit Hinweisen auf Rechtsprechung und Literatur). Diese Abgrenzungskriterien gelten auch bei Entscheiden über vorsorgliche Massnahmen. Demnach sind selbständig eröffnete Massnahmenentscheide, die vor oder während eines Hauptverfahrens erlassen werden und nur für die Dauer des Hauptverfahrens Bestand haben bzw. unter der Bedingung, dass ein Hauptverfahren eingeleitet wird, Zwischenentscheide im Sinne von Art. 93 BGG (BGE 137 III 324 E. 1.1).</w:t>
      </w:r>
    </w:p>
    <w:p>
      <w:r>
        <w:rPr>
          <w:b/>
        </w:rPr>
        <w:t>E. 2.3.1</w:t>
      </w:r>
    </w:p>
    <w:p>
      <w:r>
        <w:t>Nach Art. 45 Abs. 1 VwVG kann gegen selbständig eröffnete Zwischenverfügungen über die Zuständigkeit und über Ausstandsbegehren Beschwerde geführt werden. Andere selbständig eröffnete Zwischenverfügungen sind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(Urteil BVGer A 3997/2011 vom 13. September 2011 E. 2.1 mit Hinweisen; vgl. auch BGE 135 II 30 E. 1.3.2).</w:t>
      </w:r>
    </w:p>
    <w:p>
      <w:r>
        <w:rPr>
          <w:b/>
        </w:rPr>
        <w:t>E. 2.3.2</w:t>
      </w:r>
    </w:p>
    <w:p>
      <w:r>
        <w:t>Vorliegend ist seitens der Beschwerdeführerinnen zu Recht unbestritten, dass es sich beim RRB X._______ um eine Zwischenverfügung im Sinne von Art. 46 Abs. 1 VwVG handelt. Sie führen in der Beschwerdebegründung weiter aus, von einem nicht wieder gutzumachenden Nachteil im Sinne von Art. 46 Abs. 1 Bst. a VwVG sei vorliegend nicht auszugehen. Jedoch könne eine Gutheissung der Beschwerde sofort einen Endentscheid herbeiführen und damit einen bedeutenden Aufwand an Zeit oder Kosten für ein weitläufiges Beweisverfahren ersparen (Art. 46 Abs. 1 Bst. b VwVG).</w:t>
      </w:r>
    </w:p>
    <w:p>
      <w:r>
        <w:rPr>
          <w:b/>
        </w:rPr>
        <w:t>E. 2.3.3</w:t>
      </w:r>
    </w:p>
    <w:p>
      <w:r>
        <w:t>Die Voraussetzungen für ein auf Art. 46 Abs. 1 Bst. b VwVG gestütztes Eintreten auf die Beschwerde sind vorliegend klarerweise nicht erfüllt. Auch mit einem Entscheid bezüglich des zu wählenden "Tarifgestaltungsansatzes" wäre weder über die - auch im provisorischen Tariffestsetzungsverfahren streitige - Höhe des Taxpunktwerts entschieden noch ein Endentscheid in der Hauptsache (Höhe des definitiven Taxpunktwerts) möglich. Zudem stellen der "Tarifgestaltungsansatz" und die Höhe des Taxpunktwerts nicht losgelöste Aspekte des Tarifentscheides dar, die unabhängig voneinander beurteilt werden könnten. Damit würde ein Entscheid, der sich nur zum "Tarifgestaltungsansatz" äussern würde, lediglich eine materiellrechtliche Teilfrage im Hinblick auf die Verfahrenserledigung regeln, mithin einen Schritt auf dem Weg zum Endentscheid darstellen und wäre dementsprechend als Zwischenentscheid und nicht als eigenständig anfechtbarer Teilentscheid zu qualifizieren (vgl. dazu die in E. 2.2 dargelegte Praxis des Bundesgerichts sowie Urteile des Bundesgerichts 2C_412/2012 vom 27. März 2013 E. 1.2.1 und 5A_920/2010 vom 11. März 2011 E. 4 m.H.). Hinzu kommt schliesslich, dass für einen Tariffestsetzungsentscheid des Regierungsrats verschiedene Abklärungen erforderlich sind (vgl. bereits Art. 47 Abs.1 KVG und die in Ziff. 3 der angefochtenen Verfügung enthaltene Einladung an die Parteien, bis spätestens zum 30. Juni 2014 allfällige neue sachdienliche Unterlagen einzureichen), von deren Ausgang das Ergebnis des Verfahrens selbst dann abhängt, wenn über den "Tarifgestaltungsansatz" im Sinne der Beschwerdeführerinnen entschieden würde, sodass auch in diesem Fall eine Rückweisung an die Vorinstanz erfolgen müsste (vgl. BGE 133 V 477 E. 5.1; Urteil des Bundesverwaltungsgerichts C 2418/2009 vom 22. Juni 2009 E. 1.5.6 in fine). Ein sofortiger Endentscheid kann somit durch das Bundesverwaltungsgericht im vorliegenden Beschwerdeverfahren von vornherein nicht herbeigeführt werden.</w:t>
      </w:r>
    </w:p>
    <w:p>
      <w:r>
        <w:rPr>
          <w:b/>
        </w:rPr>
        <w:t>E. 2.4</w:t>
      </w:r>
    </w:p>
    <w:p>
      <w:r>
        <w:t>Zusammenfassend ergibt sich, dass die Beschwerde gegen den Regierungsratsbeschluss X._______ vom 24. September 2013 offensichtlich unzulässig ist, weshalb darauf im einzelrichterlichen Verfahren (Art. 23 Abs. 1 Bst. b des Verwaltungsgerichtsgesetzes vom 17. Juni 2005 [VGG, SR 173.32]) nicht einzutreten ist. Damit erübrigt sich die Beurteilung des Verfahrensantrags auf Fortsetzung des Festsetzungsverfahrens.</w:t>
      </w:r>
    </w:p>
    <w:p>
      <w:r>
        <w:rPr>
          <w:b/>
        </w:rPr>
        <w:t>E. 3</w:t>
      </w:r>
    </w:p>
    <w:p>
      <w:r>
        <w:t>Bei diesem Ergebnis haben die Beschwerdeführerinnen die Verfahrenskosten zu tragen (vgl. Art. 63 Abs. 1 VwVG). Diese sind vorliegend auf Fr. 1'500.- festzusetzen (vgl. Art. 1 ff. des Reglements vom 21. Februar 2008 über die Kosten und Entschädigungen vor dem Bundesverwaltungsgericht [VGKE, SR 173.320.2]) und mit dem geleisteten Kostenvorschuss von Fr. 4'000.- zu verrechnen. Der Restbetrag von Fr. 2'500.- ist den Beschwerdeführerinnen zurückzuerstatten. Eine Parteientschädigung ist nicht zuzusprechen (vgl. Art. 64 Abs. 1 VwVG und Art. 7 Abs. 3 VGKE).</w:t>
      </w:r>
    </w:p>
    <w:p>
      <w:r>
        <w:rPr>
          <w:b/>
        </w:rPr>
        <w:t>E. 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