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C-6092/2008 vom 13. November 2009</w:t>
      </w:r>
    </w:p>
    <w:p>
      <w:r>
        <w:t>Bundesverwaltungsgericht, 2009-11-13, FR</w:t>
      </w:r>
    </w:p>
    <w:p>
      <w:r>
        <w:rPr>
          <w:b/>
        </w:rPr>
        <w:t xml:space="preserve">Quelle: </w:t>
      </w:r>
      <w:r>
        <w:t>https://mcp.opencaselaw.ch/entscheid/bvger_C-6092_2008</w:t>
      </w:r>
    </w:p>
    <w:p>
      <w:r>
        <w:t>FR: TAF C-6092/2008 du 13 novembre 2009</w:t>
      </w:r>
    </w:p>
    <w:p>
      <w:r>
        <w:t>IT: TAF C-6092/2008 del 13 novembre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et B._______, qui agissent également au nom de leurs deux enfants, ont qualité pour recourir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1.3 ci-dessus) régnant au moment où elle statue (cf. consid. 1.2 de l'arrêt du Tribunal fédéral 2A.451/2002 du 28 mars 2003, partiellement publié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3.2</w:t>
      </w:r>
    </w:p>
    <w:p>
      <w:r>
        <w:t>Ne sont pas comptés dans les nombres maximums les étrangers qui obtiennent une autorisation de séjour dans un cas personnel d'extrême gravité ou en raison de considérations de politique générale (art. 13 let. f OLE).</w:t>
      </w:r>
    </w:p>
    <w:p>
      <w:r>
        <w:rPr>
          <w:b/>
        </w:rPr>
        <w:t>E. 3.3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1.07.2009; ATF 119 Ib 33 consid. 3a, traduit en français dans Journal des Tribunaux [JdT] 1995 I 226 consid. 3a p. 230, valable mutatis mutandis pour le nouveau droit) et au Tribunal, en vertu de l'effet dévolutif du recours (cf. art. 54 PA). Il s'ensuit que les recourants ne peuvent tirer aucun avantage du fait que le SPOP/VD a toléré provisoirement leur séjour dans le canton de Vaud (cf. mémoire de recours, p. 3) et qu'il s'est déclaré favorable à la régularisation de leurs conditions de séjour le 4 avril 2008.</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et la jurisprudence et la doctrine citées). Il a ainsi été admis qu'un séjour régulier en Suisse d'une durée de sept à huit ans et une intégration normale ne suffisent pas, à eux seuls, pour qu'un ressortissant étranger - qui s'est toujours bien comporté - puisse obtenir une exemption des nombres maximums fixés par le Conseil fédéral (cf. ATAF 2007/45 consid. 4.3 et la jurisprudence et doctrine citées).</w:t>
      </w:r>
    </w:p>
    <w:p>
      <w:r>
        <w:rPr>
          <w:b/>
        </w:rPr>
        <w:t>E. 4.3</w:t>
      </w:r>
    </w:p>
    <w:p>
      <w:r>
        <w:t>S'agissant des séjours effectués sans autorisation idoine, illégaux ou précaires, le Tribunal de céans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consid. 5.4, et la jurisprudence citée). Dès lors, il appartient à l'autorité compétente d'examiner si l'étranger se trouve pour d'autres raisons dans un état de détresse justifiant de l'excepter des mesures de limitation du nombre des étrangers. Pour cela, il y a lieu de se fonder sur les relations familiales de l'étranger en Suisse et dans sa patrie, sur son état de santé, sur sa situation professionnelle, sur son intégration sociale, etc. (ibidem).</w:t>
      </w:r>
    </w:p>
    <w:p>
      <w:r>
        <w:rPr>
          <w:b/>
        </w:rPr>
        <w:t>E. 4.4</w:t>
      </w:r>
    </w:p>
    <w:p>
      <w:r>
        <w:t>Lorsqu'une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ATAF précité, consid. 5.3, et la jurisprudence citée).</w:t>
      </w:r>
    </w:p>
    <w:p>
      <w:r>
        <w:rPr>
          <w:b/>
        </w:rPr>
        <w:t>E. 5.1</w:t>
      </w:r>
    </w:p>
    <w:p>
      <w:r>
        <w:t>Dans le cadre de la procédure en première instance et en recours, A._______ et son épouse ont invoqué le bénéfice de la circulaire relative à la pratique concernant la réglementation du séjour des étrangers dans les cas personnels d'extrême gravité du 1er janvier 2007 (cf. écritures du 15 août 2008, p. 2, et mémoire de recours, p. 3).</w:t>
      </w:r>
    </w:p>
    <w:p>
      <w:r>
        <w:rPr>
          <w:b/>
        </w:rPr>
        <w:t>E. 5.2</w:t>
      </w:r>
    </w:p>
    <w:p>
      <w:r>
        <w:t>Comme le Tribunal a eu l'occasion de le rappeler à de nombreuses reprises (cf. en particulier ATAF précité consid. 6.2 et 6.3), la circulaire dite « Metzler » du 21 décembre 2001, révisée le 8 octobre 2004 et pour la dernière fois le 21 décembre 2006, ne pose cependant aucun principe selon lequel un séjour de quatre ans au moins et une bonne intégration en Suisse entraîneraient obligatoirement l'application de l'art. 13 let. f OLE, si bien que les recourants ne peuvent tirer aucun avantage de ce texte.</w:t>
      </w:r>
    </w:p>
    <w:p>
      <w:r>
        <w:rPr>
          <w:b/>
        </w:rPr>
        <w:t>E. 6.1</w:t>
      </w:r>
    </w:p>
    <w:p>
      <w:r>
        <w:t>En l'occurrence, A._______ et son épouse ont sollicité l'octroi d'une exception aux mesures de limitation afin de demeurer avec leurs deux enfants en Suisse, où ils affirment vivre de manière continue et ininterrompue depuis 1999 (cf. mémoire de recours, p. 3, et réplique du 20 janvier 2009, p. 2), soit désormais depuis dix années. Le Tribunal, prenant en considération la situation des intéressés depuis leur arrivée dans le canton de Vaud les 5 mars et 8 octobre 1999 (selon indications figurant dans les rapports d'arrivée du 16 avril 2007), estime que les éléments portés à sa connaissance (cf. notamment les pièces produites le 31 octobre 2007 dans le cadre de la procédure cantonale) permettent de constater que les intéressés ont résidé et travaillé en Suisse depuis 1999 à l'insu des autorités de police des étrangers en toute illégalité et que depuis le dépôt de leur demande de régularisation, le 16 avril 2007, ils y demeurent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Cela étant, il convient d'examiner les critères d'évaluation qui, autres que la seule durée du séjour en Suisse, pourraient rendre le retour des recourants dans leur pays d'origine particulièrement difficile.</w:t>
      </w:r>
    </w:p>
    <w:p>
      <w:r>
        <w:rPr>
          <w:b/>
        </w:rPr>
        <w:t>E. 6.2.1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6.2.2</w:t>
      </w:r>
    </w:p>
    <w:p>
      <w:r>
        <w:t>En l'espèce, si l'on se réfère à leur mémoire de recours, les recourants justifient d'abord leur démarche par leur « très importante » volonté d'intégration en Suisse, qui serait même « spectaculaire » sous l'angle professionnel (cf. mémoire de recours, p. 3). A._______, lequel oeuvre en qualité d'agent d'entretien, souligne qu'il a toujours travaillé depuis son arrivée en Suisse et que les renseignements de l'employeur à son propos sont élogieux (ibidem, p. 4). Quant à B._______, elle a occupé plusieurs emplois (femme de ménage, vendeuse caissière) durant sa présence dans le canton de Vaud; elle occupe désormais un emploi fixe auprès d'un établissement hospitalier en qualité de femme de chambre/aide de service. Aussi souligne-t-elle que l'on peut « difficilement faire mieux » en matière d'intégration professionnelle (ibidem). S'agissant de l'intégration socio-professionnelle de A._______ et de son épouse, force est de constater que, comparée à celle de la moyenne des étrangers présents en Suisse depuis plus de dix ans, elle ne revêt aucun caractère exceptionnel. En effet, bien que le Tribunal ne remette nullement en cause les efforts d'intégration accomplis par les recourants sur le plan professionnel, il ne saurait pour autant considérer que ceux-ci se soient créé avec la Suisse des attaches à ce point profondes et durables qu'ils ne puissent plus raisonnablement envisager un retour dans leur pays d'origine. En effet, au regard de la nature des divers emplois (cf. ci-dessus) qu'ils ont exercés en Suisse, les intéressés n'ont pas acquis de connaissances ou de qualifications spécifiques telles qu'ils ne pourraient plus les mettre en pratique dans leur patrie et qu'il faille considérer qu'ils ont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De plus, le fait que la recourante ait été amenée pendant son séjour en Suisse à parfaire sa formation (cf. mémoire de recours, p. 4) est certes fort louable, mais n'est point susceptible de modifier l'analyse faite ci-avant, dans la mesure où les cours suivis ne consacrent pas une évolution socio-professionnelle telle que mentionnée par la jurisprudence précitée.</w:t>
      </w:r>
    </w:p>
    <w:p>
      <w:r>
        <w:rPr>
          <w:b/>
        </w:rPr>
        <w:t>E. 6.2.3</w:t>
      </w:r>
    </w:p>
    <w:p>
      <w:r>
        <w:t>Par ailleurs, le Tribunal observe que le comportement des recourants n'est pas exempt de tout reproche puisqu'ils ont séjourné et travaillé durant de nombreuses années sur le territoire helvétique sans être au bénéfice de la moindre autorisation de travail en bonne et due forme. Les recourants ne contestent d'ailleurs pas qu'ils ont vécu dans la clandestinité, ni le fait que A._______ avait été intercepté au poste frontière de la gare de Cornavin lors d'un retour en Suisse, le 3 janvier 2001, alors qu'il était dépourvu d'un visa d'entrée en bonne et due forme (ibidem, pp. 2 et 3). Il est donc indéniable que, ce faisant, les intéressés ont contrevenu gravement aux prescriptions de police des étrangers, en particulier à l'art. 2 al. 1 LSEE qui prévoit que les étrangers entrés dans l'intention de prendre domicile ou d'exercer une activité lucrative doivent faire leur déclaration dans les huit jours et en tout cas avant de prendre un emploi. L'argument tiré du fait que les intéressés ont décidé par la suite de sortir de la clandestinité en exposant loyalement leur situation à l'autorité cantonale compétente (ibidem, p. 3) n'est pas de nature à effacer l'illégalité de leur comportement, sous peine de vider de leur sens les prescriptions relatives à la prise d'emploi en Suisse. Cela étant, même s'il ne faut pas exagérer l'importance de ces infractions qui sont inhérentes à la condition de travailleur clandestin, il n'est néanmoins pas contradictoire de tenir compte de l'existence de tels éléments (cf. ATF 130 II 39 consid. 5.2).</w:t>
      </w:r>
    </w:p>
    <w:p>
      <w:r>
        <w:rPr>
          <w:b/>
        </w:rPr>
        <w:t>E. 6.2.4</w:t>
      </w:r>
    </w:p>
    <w:p>
      <w:r>
        <w:t>Sur un autre plan, il convient de constater que le recourant est né en Equateur, plus précisément à Santo Domingo (cf. rapport d'arrivée du 16 avril 2007), et qu'il y a donc certainement suivi toute sa scolarité obligatoire. Ayant vécu en ce pays jusqu'à l'âge de vingt-huit ans environ,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en va d'ailleurs de même en ce qui concerne B._______, qui a également vu le jour à Santo Domingo (cf. rapport d'arrivée du 16 avril 2007), qui a effectué toute sa scolarité dans sa patrie, qui y a commencé sa vie de jeune adulte et même entrepris des études universitaires (section comptabilité et pédagogie), entre 1988 et 1990, avant d'occuper plusieurs postes en qualité de secrétaire notamment (cf. curriculum vitae produit le 24 mai 2007 dans le cadre de la procédure cantonale). Il est dès lors indéniable que les recourants possèdent encore des attaches socio-culturelles étroites et profondes avec leur patrie. Certes, les recourants font valoir que les liens avec leur famille se sont « peu à peu atténués » (cf. mémoire de recours, p. 3). Le Tribunal est cependant d'avis que cet élément ne saurait modifier l'analyse faite plus haut. En effet, même si l'on peut admettre, dans une certaine mesure, que les recourants ont perdu une partie de leurs racines en Equateur du fait de leur séjour dans le canton de Vaud, force est néanmoins de constater qu'un retour dans leur patrie ne les placerait pas dans une situation exceptionnelle où l'application des règles normales de police des étrangers les exposerait à un traitement particulièrement sévère; cela d'autant moins que les intéressés y ont encore plusieurs membres de la famille, avec lesquels ils ont maintenu des liens par le biais de « brefs entretiens téléphoniques », et notamment avec la mère de la recourante (cf. courrier adressé le 31 octobre 2007 au SPOP/VD, p. 3). Au demeurant, il n'est pas inutile de noter que les connaissances linguistiques et pratiques que les recourants ont acquises durant leur séjour en Suisse constitueront certainement un atout de nature à favoriser leur réintégration professionnelle en Equateur.</w:t>
      </w:r>
    </w:p>
    <w:p>
      <w:r>
        <w:rPr>
          <w:b/>
        </w:rPr>
        <w:t>E. 6.2.5</w:t>
      </w:r>
    </w:p>
    <w:p>
      <w:r>
        <w:t>Quant aux deux filles des recourants, C._______ , née à Santo Domingo le 1er avril 1997 (cf. copie de son passeport national), et D._______, née à Lausanne le 8 juin 2005 (cf. communication d'une naissance du 27 juillet 2005), elles restent encore toutes deux très attachées à la culture et aux coutumes équatoriennes par l'influence de leurs parents, même si la cadette n'a jamais vécu dans son pays d'origine. Certes, les recourants soulignent que la fille aînée a effectué jusqu'à ce jour toute sa scolarité dans le canton de Vaud (cf. mémoire de recours, p. 5) et mettent en outre l'accent sur son « excellente » intégration dans ce canton (cf. déterminations du 20 janvier 2009, p. 3, et attestations produites). Quand bien même il n'est point contesté que la prénommée est bien adaptée à son milieu social actuel et qu'un retour dans son pays d'origine entraînerait assurément certaines difficultés, son intégration n'est cependant pas à ce point poussée qu'elle ne puisse se réadapter à sa patrie et surmonter un changement de son environnement social; son jeune âge et sa capacité d'adaptation ne pourront que l'aider à supporter ce changement (cf. ATF 123 II 125 et jurisprudence citée). Il en va d'ailleurs de même, a fortiori, de sa soeur, D._______, âgée aujourd'hui d'un peu plus de quatre ans et qui n'a donc pas encore débuté la scolarité obligatoire. Dans cette optique, l'affirmation selon laquelle un retour en Equateur exposerait cette famille à des difficultés insurmontables (cf. mémoire de recours, p. 5), voire même entraînerait « un déracinement insupportable sur le plan humain » (cf. déterminations du 20 janvier 2009, p. 5), apparaît pour le moins exagérée.</w:t>
      </w:r>
    </w:p>
    <w:p>
      <w:r>
        <w:rPr>
          <w:b/>
        </w:rPr>
        <w:t>E. 6.2.6</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sensiblement moins favorable que celle dont ils bénéficient en Suisse, notamment en raison de la différence du niveau de vie existant entre ce pays et l'Equateur. Quoi qu'en pensent les recourants, il n'y a pas lieu cependant de considérer que cette situation serait sans commune mesure avec celle que connaissent leurs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6.3</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w:t>
      </w:r>
    </w:p>
    <w:p>
      <w:r>
        <w:rPr>
          <w:b/>
        </w:rPr>
        <w:t>E. 7</w:t>
      </w:r>
    </w:p>
    <w:p>
      <w:r>
        <w:t>Compte tenu des considérants exposés ci-dessus, il appert que, par sa décision du 21 août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