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C-6091/2012 vom 12. September 2013</w:t>
      </w:r>
    </w:p>
    <w:p>
      <w:r>
        <w:t>Bundesverwaltungsgericht, 2013-09-12, FR</w:t>
      </w:r>
    </w:p>
    <w:p>
      <w:r>
        <w:rPr>
          <w:b/>
        </w:rPr>
        <w:t xml:space="preserve">Quelle: </w:t>
      </w:r>
      <w:r>
        <w:t>https://mcp.opencaselaw.ch/entscheid/bvger_C-6091_2012</w:t>
      </w:r>
    </w:p>
    <w:p>
      <w:r>
        <w:t>FR: TAF C-6091/2012 du 12 septembre 2013</w:t>
      </w:r>
    </w:p>
    <w:p>
      <w:r>
        <w:t>IT: TAF C-6091/2012 del 12 settembre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al. 1 et 52 al. 1 PA).</w:t>
      </w:r>
    </w:p>
    <w:p>
      <w:r>
        <w:rPr>
          <w:b/>
        </w:rPr>
        <w:t>E. 2</w:t>
      </w:r>
    </w:p>
    <w:p>
      <w:r>
        <w:t>Il est possible d'invoquer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2012/21 consid. 5.1 p. 414 s., ATAF 2011/43 consid. 6.1 p. 886,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 Alain Wurzburger, La jurisprudence récente du Tribunal fédéral en matière de police des étrangers, Revue de droit administratif et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 voir aussi ATF 135 II 1 consid. 1.1 p. 4 et ATAF 2009/27 consid. 3 p. 342, et jurisp. cit.).</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(cf. ATAF 2009/27 précité, consid. 5.1 et 5.2 p. 343 s.).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(pour plus de les détails de cette question, cf. ATAF 2009/27 précité, consid. 5.2 et 5.3 p. 344).</w:t>
      </w:r>
    </w:p>
    <w:p>
      <w:r>
        <w:rPr>
          <w:b/>
        </w:rPr>
        <w:t>E. 4.2</w:t>
      </w:r>
    </w:p>
    <w:p>
      <w:r>
        <w:t>Si les conditions mises à l'octroi d'un visa uniforme pour l'Espace Schengen ne sont pas remplies, un Etat membre peut, à titre exceptionnel, délivrer un visa à validité territoriale limitée (ci-après : visa VTL) notamment pour des motifs humanitaires ou d'intérêt national ou en raison d'obligations internationales (cf. art. 25 par. 1 let. a du code des visas et art. 5 par. 4 let. c du code frontières Schengen).</w:t>
      </w:r>
    </w:p>
    <w:p>
      <w:r>
        <w:rPr>
          <w:b/>
        </w:rPr>
        <w:t>E. 5</w:t>
      </w:r>
    </w:p>
    <w:p>
      <w:r>
        <w:t>Le Règlement (CE) n° 539/2001 du Conseil du 15 mars 2001 (JO L 81 du 21 mars 2001, p. 1-7) différencie, en son art. 1 par. 1 et 2, les ressortissants des Etats tiers selon qu'ils sont soumis ou non à l'obligation du visa. En tant que ressortissante de la RDC, B._______ est soumise à l'obligation du visa.</w:t>
      </w:r>
    </w:p>
    <w:p>
      <w:r>
        <w:rPr>
          <w:b/>
        </w:rPr>
        <w:t>E. 6</w:t>
      </w:r>
    </w:p>
    <w:p>
      <w:r>
        <w:t>Dans la décision querellée, l'ODM a refusé d'autoriser l'entrée en Suisse de la prénommée au motif que son départ à l'échéance du visa sollicité n'apparaissait pas suffisamment assuré.</w:t>
      </w:r>
    </w:p>
    <w:p>
      <w:r>
        <w:rPr>
          <w:b/>
        </w:rPr>
        <w:t>E. 6.1</w:t>
      </w:r>
    </w:p>
    <w:p>
      <w:r>
        <w:t>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afin d'évaluer son comportement une fois arrivé en Suisse. A ce propos, il faut prendre en considération la qualité de vie et les conditions économiques particulières que connaît l'ensemble de la population de la RDC. Etat avec un produit intérieur brut (PIB) par habitant de USD 290 en 2011, elle demeure très en dessous des standards européens. Malgré un potentiel économique considérable, la RDC reste l'un des pays les plus pauvres de la planète. Pour l'année 2012, l'indice de développement humain (IDH), qui prend en compte la santé, l'éducation et le revenu des personnes, la classe en dernière position (à la 186ème place, à égalité avec le Niger), et la Suisse en 9ème position. Sur le plan politique et sécuritaire, la situation demeure également préoccupante (cf. aussi arrêt du Tribunal administratif fédéral C-4852/2011 du 20 mars 2013 consid. 6.1, ainsi que les sources citées). Dès lors, les conditions socio-économiques difficiles et l'instabilité prévalant en RDC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les arrêts du Tribunal administratif fédéral C-3919/2012 du 16 janvier 2013 consid. 7 et C-3821/2011 du 28 février 2012 consid. 7.1). Ainsi, on ne saurait d'emblée écarter les craintes émises par l'ODM que l'intéressée ne cherche à prolonger son séjour en Suisse au-delà de la validité du visa sollicité.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aussi arrêt du Tribunal administratif fédéral C-4852/2011 précité, consid. 6.2, et les autres arrêts qui y sont mentionnés).</w:t>
      </w:r>
    </w:p>
    <w:p>
      <w:r>
        <w:rPr>
          <w:b/>
        </w:rPr>
        <w:t>E. 6.2</w:t>
      </w:r>
    </w:p>
    <w:p>
      <w:r>
        <w:t>Il ressort du dossier que B._______ est une femme au foyer actuellement âgée de 7(...) ans et sans activité professionnelle. En outre, elle n'a pas d'autres sources importantes de revenus ni de fortune conséquente (p. ex. sous forme d'immeubles locatifs) susceptibles de l'inciter à regagner son pays d'origine au terme de son séjour. Même si l'on devait admettre qu'elle dispose réellement encore d'un réseau familial en RDC (cf. à ce sujet let. E des faits) - affirmation qui n'a pas été étayée par la production de moyens de preuve - cet élément ne suffirait pas, à lui seul, à garantir son retour, au vu de ce qui précède ainsi que du contexte socioéconomique et politique dans lequel se trouve la RDC et de la présence de sa fille en Suisse. B._______ serait ainsi parfaitement à même de se créer une nouvelle existence hors de sa patrie, sans que cela n'entraîne pour elle des difficultés majeures sur le plan personnel, social ou familial. Par ailleurs, la recourante n'a pas invoqué de raisons susceptibles de justifier la délivrance d'un visa VTL en faveur de l'invitée (cf. consid. 4.2 supra) et de tels motifs ne ressortent du reste pas du non plus dossier (cf. également, pour plus de détails sur cette question, arrêt du Tribunal administratif fédéral C-4852/2011 précité, consid. 7, et réf. cit.).</w:t>
      </w:r>
    </w:p>
    <w:p>
      <w:r>
        <w:rPr>
          <w:b/>
        </w:rPr>
        <w:t>E. 7</w:t>
      </w:r>
    </w:p>
    <w:p>
      <w:r>
        <w:t>Cela étant, le désir exprimé par l'intéressée, au demeurant parfaitement compréhensible, de venir en Suisse rendre visite à sa famille ne constitue pas, à lui seul, un motif justifiant l'octroi d'un visa (cf. également consid. 3 ci-dessus). Certes, il peut sembler sévère de refuser à une personne l'autorisation d'entrer dans un pays où résident des membres de sa famille. Il convient toutefois de souligner que cette situation ne diffère pas de celle de nombreux étrangers dont la parenté demeure également en Suisse. Au vu du nombre important de demandes de visas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pas sans avoir une incidence importante dans l'appréciation du cas particulier.</w:t>
      </w:r>
    </w:p>
    <w:p>
      <w:r>
        <w:rPr>
          <w:b/>
        </w:rPr>
        <w:t>E. 8</w:t>
      </w:r>
    </w:p>
    <w:p>
      <w:r>
        <w:t>Il sied encore de relever que le refus d'une autorisation d'entrée ne remet nullement en cause la bonne foi ou l'honnêteté de la personne résidant en Suisse qui a invité un parent domicilié à l'étranger pour un séjour touristique et s'est engagée à garantir les frais y relatifs et le départ de son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qui conserve seule la maîtrise de son comportement - et ne permettent nullement d'exclure l'éventualité que celle-ci, une fois en Suisse, ne tente d'y poursuivre durablement son existence (cf. à cet égard, ATAF 2009/27 précité consid. 9 p. 347).</w:t>
      </w:r>
    </w:p>
    <w:p>
      <w:r>
        <w:rPr>
          <w:b/>
        </w:rPr>
        <w:t>E. 9</w:t>
      </w:r>
    </w:p>
    <w:p>
      <w:r>
        <w:t>Par surabondance, il convient encore de relever qu'un refus d'autorisation d'entrée dans l'Espace Schengen prononcé par les autorités helvétiques n'a pas en l'espèce pour conséquence d'empêcher les intéressés de se voir, ceux-ci pouvant tout aussi bien se rencontrer hors de l'Espace Schengen, malgré les inconvénients d'ordre pratique ou de convenance personnelle et la charge financière supplémentaire que cela peut engendrer.</w:t>
      </w:r>
    </w:p>
    <w:p>
      <w:r>
        <w:rPr>
          <w:b/>
        </w:rPr>
        <w:t>E. 10</w:t>
      </w:r>
    </w:p>
    <w:p>
      <w:r>
        <w:t>Compte tenu de ce qui précède, il appert que, par sa décision du 13 septembre 2012, l'ODM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d'un montant de Fr. 700.-, à la charge de la recourante,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