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C-6088/2007 vom 30. Januar 2008</w:t>
      </w:r>
    </w:p>
    <w:p>
      <w:r>
        <w:t>Bundesverwaltungsgericht, 2008-01-30, DE</w:t>
      </w:r>
    </w:p>
    <w:p>
      <w:r>
        <w:rPr>
          <w:b/>
        </w:rPr>
        <w:t xml:space="preserve">Quelle: </w:t>
      </w:r>
      <w:r>
        <w:t>https://mcp.opencaselaw.ch/entscheid/bvger_C-6088_2007</w:t>
      </w:r>
    </w:p>
    <w:p>
      <w:r>
        <w:t>FR: TAF C-6088/2007 du 30 janvier 2008</w:t>
      </w:r>
    </w:p>
    <w:p>
      <w:r>
        <w:t>IT: TAF C-6088/2007 del 30 gennaio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Inkraftreten des AuG eingereicht wurden (Art. 126 Abs. 1 AuG). Da das der Beschwerde zugrunde liegende Gesuch um Einreise am 11. Juni 2007 eingereicht wurde, finden somit die zu diesem Zeitpunkt geltenden Bestimmungen des aANAG sowie die gestützt darauf erlassenen Durchführungsvorschriften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Der Beschwerdeführer ist als Verfügungsadressat zur Anfechtung der Verfügung legitimiert. Auf die frist- und formgerecht eingereichte Beschwerde ist deshalb einzutreten (Art. 48 ff. VwVG).</w:t>
      </w:r>
    </w:p>
    <w:p>
      <w:r>
        <w:rPr>
          <w:b/>
        </w:rPr>
        <w:t>E. 2</w:t>
      </w:r>
    </w:p>
    <w:p>
      <w:r>
        <w:t>Ausländerinnen und Ausländer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2.1</w:t>
      </w:r>
    </w:p>
    <w:p>
      <w:r>
        <w:t>Für die Erteilung von Einreisevisa ist das BFM zuständig (Art. 18 aVEA), welches im Rahmen der gesetzlichen Vorschriften und der Verträge mit dem Ausland nach freiem Ermessen entscheidet (Art. 4 und Art. 16 Abs. 1 aANAG, Art. 9 aVEA). Dies bedeutet, dass die schweizerische Rechtsordnung weder ein allgemeines Recht auf Einreise kennt, noch einen besonderen Anspruch auf Erteilung eines Visums gewährt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2.2</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3</w:t>
      </w:r>
    </w:p>
    <w:p>
      <w:r>
        <w:t>Die Gesuchstellerin benötigt aufgrund ihrer Nationalität zur Einreise in die Schweiz neben einem gültigen Reisedokument ein Visum. Die Vorinstanz verweigerte die Erteilung eines solchen Visums mit der Begründung, die fristgerechte Wiederausreise erscheine nicht als hinreichend gesichert.</w:t>
      </w:r>
    </w:p>
    <w:p>
      <w:r>
        <w:rPr>
          <w:b/>
        </w:rPr>
        <w:t>E. 3.1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3.2</w:t>
      </w:r>
    </w:p>
    <w:p>
      <w:r>
        <w:t>Nach mehr als zehn Jahren starken Wachstums und grosser Stabilität befindet sich die Dominikanische Republik seit Anfang 2003 in einer wirtschaftlich schwierigen Situation. Zur Wirtschaftskrise hat unter anderem die Insolvenz einer der grössten Geschäftsbanken beigetragen, deren Verbindlichkeiten von der dominikanischen Zentralbank übernommen wurden. Die Wirtschaftsdaten für 2003 weisen eine Verdoppelung der Staatsverschuldung auf etwa 56% des Bruttoinlandproduktes auf und die Inflationsrate betrug allein in diesem Jahr 42,7%. Die Wirtschaftskrise hat vor allem die Bevölkerung empfindlich getroffen. In diesem Zeitraum stieg der Anteil der unter der Armutsgrenze lebenden dominikanischen Bevölkerung um 582'287 auf über 5,71 Mio., bei einer Gesamtbevölkerung von ca. 9,1 Mio. Der gesetzliche Mindestlohn pro Monat betrug Ende 2003 zwischen USD 73 (kleine Unternehmen) und USD 119 (grosse Unternehmen) und ist damit im Vergleich zu den Vorjahren deutlich zurückgegangen. Die Arbeitslosenquote ist in den letzten Jahren kontinuierlich gestiegen und betrug im Jahre 2004 18,4%; diese Quote droht durch Massenentlassungen noch weiter zu steigen (Quelle: Länder- und Reiseinformationen auf der Website des Auswärtigen Amtes, www.auswaertiges-amt.de, Stand März 2006, besucht am 15. Januar 2008).</w:t>
      </w:r>
    </w:p>
    <w:p>
      <w:r>
        <w:rPr>
          <w:b/>
        </w:rPr>
        <w:t>E. 3.3</w:t>
      </w:r>
    </w:p>
    <w:p>
      <w:r>
        <w:t>In Anbetracht der schwierigen Situation im Herkunftsland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Bei der Risikoanalyse sind allerdings nicht nur solch allgemeine Umstände und Erfahrungen, sondern auch sämtliche Gesichtspunkte des konkreten Einzelfalles zu berücksichtigen. Obliegt einer Gesuchstellerin oder einem Gesuchsteller beispielsweise eine besondere berufliche, gesellschaftliche oder familiäre Verantwortung, so kann dieser Umstand durchaus die Prognose für eine anstandslose Wiederausreise begünstigen. Umgekehrt muss bei Gesuchstellerinnen und Gesuchstellern, die in ihrer Heimat keine besonderen Verpflichtungen haben, das Risiko, dass sie sich nach einer bewilligten Einreise nicht gemäss den fremdenpolizeilichen Regeln verhalten, als vergleichsweise hoch eingestuft werden.</w:t>
      </w:r>
    </w:p>
    <w:p>
      <w:r>
        <w:rPr>
          <w:b/>
        </w:rPr>
        <w:t>E. 4.1</w:t>
      </w:r>
    </w:p>
    <w:p>
      <w:r>
        <w:t>Bei der Gesuchstellerin handelt es sich um eine etwas mehr als 34-jährige, ledige Frau, die den Angaben des Beschwerdeführers zufolge zwei Kinder hat, die in ihrem Heimatland leben. Auf einem Formular der Schweizervertretung ist sogar von drei Kindern (im Alter von 16, 13 bzw. 6 Jahren) die Rede. Da die Gesuchstellerin einen Besuchsaufenthalt von immerhin drei Monaten anstrebt, ist jedoch davon auszugehen, dass die vom Gastgeber angesprochenen familiären Verpflichtungen einer längeren Abwesenheit der Gesuchstellerin nicht entgegenstehen dürften. Ihr Vorhaben lässt mithin auf Vertretungsmöglichkeiten schliessen, die keine hinreichende Gewähr für eine fristgerechte Ausreise nach erfolgtem Besuchsaufenthalt bieten. Aber auch in beruflicher und wirtschaftlicher Hinsicht kann nicht von Verhältnissen gesprochen werden, welche geeignet wären, sie nachhaltig davon abzuhalten, über die beantragte Visumsdauer hinaus bei ihrer Cousine und Jugendfreundin zu verweilen. Die Gesuchstellerin geht seit längerem keiner Erwerbstätigkeit mehr nach und es ist nicht bekannt, wie sie ihren Lebensunterhalt bestreitet. Dementsprechend besteht auf Seiten der eingeladenen Person auch diesbezüglich eine erhebliche Flexibilität. Alles in allem sind somit keine Elemente ersichtlich, welche sie eindeutig von der Kerngruppe Emigrationswilliger abheben würde. Die Zweifel werden im Übrigen von der schweizerischen Vertretung vor Ort geteilt.</w:t>
      </w:r>
    </w:p>
    <w:p>
      <w:r>
        <w:rPr>
          <w:b/>
        </w:rPr>
        <w:t>E. 4.2</w:t>
      </w:r>
    </w:p>
    <w:p>
      <w:r>
        <w:t>Demnach lassen die persönlichen Verhältnisse der Gesuchstellerin nicht auf eine hinreichend gesicherte Wiederausreise schliessen. Die geleistete Garantieerklärung vom 12. Juli 2007 bzw. die Zusicherung des Gastgebers vom 2. Mai 2007, er werde für die Wiederausreise des Gastes besorgt sein, führen zu keinem anderen Ergebnis. Auch wenn der Gastgeber die fristgerechte Rückkehr zusichert, so geben solche Erklärungen angesichts des Umfeldes bzw. der persönlichen Situation der eingeladenen Person keine hinreichende Gewähr dafür, die Betroffene werde die Schweiz nach Ablauf der Visumsdauer tatsächlich wieder verlassen. Die Integrität bzw. Glaubwürdigkeit des Beschwerdeführers ist in keiner Art und Weise in Zweifel zu ziehen. Da die Verpflichtung hinsichtlich der Wiederausreise eines ausländischen Gastes dem Einladenden gegenüber rechtlich nicht durchsetzbar ist, müssen indessen vor allem die Verhältnisse der Gesuchstellerin ausreichende Gewähr für die fristgerechte und anstandslose Wiederausreise bieten (vgl. Art. 1 Abs. 2 Bst. c aVEA; Urteile des Bundesverwaltungsgerichts C-986/2006 vom 10. Oktober 2007 E. 4.3, C-1000/2006 vom 4. Juni 2007 E. 4.5, C-778/2006 vom 9. Mai 2007 E. 5). Weitergehende Sicherheiten als die vom Gastgeber bereits geleisteten können von ihm folglich nicht verlangt werden.</w:t>
      </w:r>
    </w:p>
    <w:p>
      <w:r>
        <w:rPr>
          <w:b/>
        </w:rPr>
        <w:t>E. 5</w:t>
      </w:r>
    </w:p>
    <w:p>
      <w:r>
        <w:t>Die Vorinstanz durfte unter den gegebenen Umständen zu Recht davon ausgehen, die fristgerechte Wiederausreise der Gesuchstellerin sei nicht gewährleistet (vgl. Art. 14 Abs. 1 i.V.m. Art. 1 Abs. 2 Bst. c aVEA). Zwar lässt sich diese Einschätzung nicht zu einer gesicherten Feststellung verdichten, sie reicht aber aus, um die Erteilung einer Einreisebewilligung - auf welche wie bereits erwähnt ohnehin kein Rechtsanspruch besteht - abzulehnen. Diese Einschätzung hat nicht zur Folge, dass die geltend gemachten verwandtschaftlichen Kontakte nicht gepflegt werden können. Aufgrund ihres Status haben der Beschwerdeführer und seine Gattin denn auch weiterhin die Möglichkeit, die Gesuchstellerin in der Dominikanischen Republik zu besuchen. Die Visumsverweigerung erscheint unter diesem Gesichtspunkt daher auch nicht als unverhältnismässig.</w:t>
      </w:r>
    </w:p>
    <w:p>
      <w:r>
        <w:rPr>
          <w:b/>
        </w:rPr>
        <w:t>E. 6</w:t>
      </w:r>
    </w:p>
    <w:p>
      <w:r>
        <w:t>Aus diesen Darlegungen folgt, dass die angefochtene Verfügung im Ergebnis rechtmässig ist (Art. 49 VwVG). Die Beschwerde ist demzufolge abzuweisen.</w:t>
      </w:r>
    </w:p>
    <w:p>
      <w:r>
        <w:rPr>
          <w:b/>
        </w:rPr>
        <w:t>E. 7</w:t>
      </w:r>
    </w:p>
    <w:p>
      <w:r>
        <w:t>Bei diesem Ausgang des Verfahrens sind dem Beschwerdeführer die Kosten aufzuerlegen (vgl. Art. 63 Abs. 1 VwVG i.V.m.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