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C-6083/2007 vom 13. August 2008</w:t>
      </w:r>
    </w:p>
    <w:p>
      <w:r>
        <w:t>Bundesverwaltungsgericht, 2008-08-13, FR</w:t>
      </w:r>
    </w:p>
    <w:p>
      <w:r>
        <w:rPr>
          <w:b/>
        </w:rPr>
        <w:t xml:space="preserve">Quelle: </w:t>
      </w:r>
      <w:r>
        <w:t>https://mcp.opencaselaw.ch/entscheid/bvger_C-6083_2007</w:t>
      </w:r>
    </w:p>
    <w:p>
      <w:r>
        <w:t>FR: TAF C-6083/2007 du 13 août 2008</w:t>
      </w:r>
    </w:p>
    <w:p>
      <w:r>
        <w:t>IT: TAF C-6083/2007 del 13 agosto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 notamment le règlement d'exécution du 1er mars 1949 de la loi fédérale sur le séjour et l'établissement des étrangers (aRSEE de 1949, RO 1949 I 232 [cf. art. 91 ch. 1 de l'ordonnance du 24 octobre 2007 relative à l'admission, au séjour et à l'exercice d'une activité lucrative; OASA, RS 142.201]).</w:t>
      </w:r>
    </w:p>
    <w:p>
      <w:r>
        <w:rPr>
          <w:b/>
        </w:rPr>
        <w:t>E. 1.3</w:t>
      </w:r>
    </w:p>
    <w:p>
      <w:r>
        <w:t>Malgré les termes restrictifs de l'art. 126 al. 1 LEtr, l'ancien droit matériel est applicable non seulement aux procédures introduites sur demande en première instance avant l'entrée en vigueur de la LEtr, mais aussi à celles engagées d'office (cf. ATAF 2008/1 consid. 2 p. 2ss); tel est le cas en l'espèce.</w:t>
      </w:r>
    </w:p>
    <w:p>
      <w:r>
        <w:rPr>
          <w:b/>
        </w:rPr>
        <w:t>E. 1.4</w:t>
      </w:r>
    </w:p>
    <w:p>
      <w:r>
        <w:t>En revanche, la procédure relative aux demandes déposées avant l'entrée en vigueur de la LEtr est régie par le nouveau droit (art. 126 al. 2 LEtr). A moins que la LTAF n'en dispose autrement, la procédure devant le TAF est régie par la PA (cf. art. 37 LTAF).</w:t>
      </w:r>
    </w:p>
    <w:p>
      <w:r>
        <w:rPr>
          <w:b/>
        </w:rPr>
        <w:t>E. 1.5</w:t>
      </w:r>
    </w:p>
    <w:p>
      <w:r>
        <w:t>A._______ étant directement touché par la décision attaquée, il a qualité pour recourir (art. 48 al. 1 PA). Présenté dans la forme et les délais légaux (cf. art. 50 et 52 PA), le recours est recevable.</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aLSEE). Est en particulier indésirable l'étranger qui a été condamné à raison d'un délit ou d'un crime par une autorité judiciaire (ATF 129 IV 246 consid. 3.2 et les références citées).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attendu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63.1 consid. 12a et les références citées).</w:t>
      </w:r>
    </w:p>
    <w:p>
      <w:r>
        <w:rPr>
          <w:b/>
        </w:rPr>
        <w:t>E. 3</w:t>
      </w:r>
    </w:p>
    <w:p>
      <w:r>
        <w:t>En l'espèce, la mesure prise par l'ODM est essentiellement motivée par la condamnation pénale du recourant pour infractions à la LStup.</w:t>
      </w:r>
    </w:p>
    <w:p>
      <w:r>
        <w:rPr>
          <w:b/>
        </w:rPr>
        <w:t>E. 3.1</w:t>
      </w:r>
    </w:p>
    <w:p>
      <w:r>
        <w:t>Le Tribunal fédéral a dans ce domaine une pratique particulièrement stricte (cf. Alain Wurzburger, La jurisprudence récente du Tribunal fédéral en matière de police des étrangers, Revue de droit administratif et fiscal [RDAF] I 1997, p. 267-355). Selon lui, la protection de la collectivité publique face au développement du trafic de la drogue constitue incontestablement un intérêt public prépondérant justifiant l'éloignement de Suisse d'un étranger mêlé au commerce de stupéfiants (ATF 125 II 521 consid. 4a/aa; arrêt du Tribunal fédéral 2C_269/2007 du 8 octobre 2007 consid. 4.2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des stupéfiants doivent donc s'attendre à faire l'objet de mesures d'éloignement (arrêt du Tribunal fédéral 2C_269/2007 précité consid. 4.2).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10 février 2000, Nazli, C-340/97, Recueil de jurisprudence [Rec.] p. I-00957, points 57 et 58; arrêt du 19 janvier 1999, Calfa, C-348/96, Rec. p. I-1011, point 22; cf. également arrêt du Tribunal administratif fédéral C-59/2006 du 22 mai 2007 consid. 5.1, qui se réfère à la jurisprudence de la CJCE).</w:t>
      </w:r>
    </w:p>
    <w:p>
      <w:r>
        <w:rPr>
          <w:b/>
        </w:rPr>
        <w:t>E. 3.2</w:t>
      </w:r>
    </w:p>
    <w:p>
      <w:r>
        <w:t>Il appert dans le cas d'espèce, comme cela ressort du jugement du Tribunal correctionnel, que le recourant s'est rendu coupable d'infraction grave à la LStup en ce qu'il a mis en contact, à des fins d'enrichissement, un vendeur et un acheteur de stupéfiants, pour une quantité de cocaïne pure supérieure à 200 grammes. Il s'agit là d'une infraction extrêmement grave, qui met en péril l'ordre et la sécurité publics de manière significative. Par ses actes, il a accepté de mettre en danger la santé et la vie de très nombreuses personnes et de porter atteinte à des biens juridiques de la plus grande importance. La peine prononcée par le Tribunal correctionnel, quinze mois d'emprisonnement, illustre bien le caractère hautement délictueux du comportement du recourant. A cet égard, contrairement à ce qu'avance ce dernier, il est sans pertinence qu'il ait ignoré la quantité exacte sur laquelle portait la transaction. Au contraire, le Tribunal relève que le recourant, par son ignorance, s'accommodait très bien de ce que la quantité ainsi mise sur le marché fût potentiellement significative, ce qui était d'ailleurs le cas, et touchât de très nombreuses personnes. Il a eu un comportement actif tout au long des pourparlers qui devaient mener à la finalisation de la transaction prévue, mettant non seulement en contact acheteur et vendeur, mais allant jusqu'à procéder, en compagnie de son comparse, à la remise de la marchandise. De surcroît, le recourant a lui-même été consommateur de stupéfiants, même s'il semble avoir réussi à surmonter cette dépendance (cf. jugement pénal). Au vu de la gravité des actes en cause, et même si le juge pénal a admis que la culpabilité de cet accusé n'était pas particulièrement lourde (cf. jugement pénal p. 15), le TAF, à l'instar de l'autorité intimée, est d'avis que le recourant répond à la qualification d'étranger indésirable et remplit les conditions d'application de l'art. 13 al. 1 phr. 1 aLSEE.</w:t>
      </w:r>
    </w:p>
    <w:p>
      <w:r>
        <w:rPr>
          <w:b/>
        </w:rPr>
        <w:t>E. 3.3</w:t>
      </w:r>
    </w:p>
    <w:p>
      <w:r>
        <w:t>C'est ici le lieu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 55 du Code pénal suisse du 21 décembre 1937 (CP, RS 311.0), ou de l'ordonner en l'assortissant d'un sursis, est dictée, au premier chef, par des considérations tirées des perspectives de réinsertion sociale de l'intéressé. Pour l'autorité de police des étrangers, l'ordre et la sécurité publics sont prépondérants. Aussi l'appréciation faite par l'autorité de police des étrangers peut-elle avoir, pour l'intéressé, des conséquences plus rigoureuses que celle à laquelle a procédé l'autorité pénale (cf. ATF 130 II 493 consid. 4.2 et la jurisprudence citée). L'attitude collaborante d'A._______ durant l'enquête pénale, ses bons antécédents, ou encore l'expression de ses regrets sincères, ne sont ainsi pas directement relevants pour la présente procédure. A tout le moins, ils ne permettent pas à eux seuls de faire admettre qu'A._______ n'est pas un étranger indésirable au sens de l'art. 13 al. 1 aLSEE.</w:t>
      </w:r>
    </w:p>
    <w:p>
      <w:r>
        <w:rPr>
          <w:b/>
        </w:rPr>
        <w:t>E. 4</w:t>
      </w:r>
    </w:p>
    <w:p>
      <w:r>
        <w:t>Le recourant se prévaut implicitement de son droit au respect de sa vie privée et familiale, attendu que sa fiancée, ressortissante helvétique, vit en Suisse. Un étranger peut, selon les circonstances, se prévaloir du droit au respect de sa vie privée et familiale garanti par l'art. 8 de la Convention du 4 novembre 1950 de sauvegarde des droits de l'homme et des libertés fondamentales (CEDH, RS 0.101) pour empêcher la division de sa famille et s'opposer ainsi à l'ingérence des autorités dans son droit protégé. Toutefois, selon la jurisprudence, les fiançailles ou le concubinage avec une personne ayant un droit de présence assuré en Suisse ne permettent en principe pas d'invoquer le respect de la vie privée et familiale garanti par l'art. 8 CEDH, sous réserve de circonstances particulières. Tel est le cas lorsque le couple entretient depuis longtemps des relations étroites et effectivement vécues et qu'il existe des indices concrets d'un mariage sérieusement voulu et imminent (cf. arrêts du Tribunal fédéral 2C_90/2007 du 27 août 2007 consid. 4.1 et 2A.305/2006 du 2 août 2006 consid. 5.2 et les références citées; cf. également ATF 129 II 11 consid. 2). Le droit au respect de la vie familiale n'est par ailleurs pas absolu et peut être restreint au terme d'une pesée des intérêts en présence. Il faut tenir compte, en cas de condamnation de l'étranger pour crime ou délit, de la gravité des actes commis ainsi que de la situation personnelle et familiale de l'intéressé (ATF 134 II 10 consid. 4.1 et 4.2 et la jurisprudence citée). En l'espèce, le dossier ne contient que peu d'éléments sur la nature véritable de la relation entre A._______ et son amie. Le recourant allègue avoir des projets de mariage avec sa fiancée depuis plusieurs années maintenant, sans qu'ils n'aient pourtant été concrétisés jusqu'à ce jour, invoquant des lenteurs administratives. Leur union n'apparaît ainsi pas imminente au sens où la jurisprudence l'exige. En outre, dans la mesure où le recourant réside à B._______, à quelques kilomètres seulement de la frontière suisse, le couple peut continuer à entretenir des relations régulières, en dépit de l'interdiction d'entrée en Suisse qui frappe le recourant. Dans ces circonstances, il apparaît que le recourant ne peut pas se prévaloir de l'art. 8 CEDH, respectivement que la décision attaquée est compatible avec cette garantie conventionnelle.</w:t>
      </w:r>
    </w:p>
    <w:p>
      <w:r>
        <w:rPr>
          <w:b/>
        </w:rPr>
        <w:t>E. 5</w:t>
      </w:r>
    </w:p>
    <w:p>
      <w:r>
        <w:t>Il convient encore d'examiner si l'interdiction d'entrée en Suisse, prononcée pour une durée de cinq ans, satisfait aux principes de proportionnalité et d'égalité de traitement.</w:t>
      </w:r>
    </w:p>
    <w:p>
      <w:r>
        <w:rPr>
          <w:b/>
        </w:rPr>
        <w:t>E. 5.1</w:t>
      </w:r>
    </w:p>
    <w:p>
      <w:r>
        <w:t>Lorsqu'elle prononce une telle interdiction, l'autorité fédérale doit en effet respecter les principes d'égalité et de proportionnalité et s'interdire tout arbitraire. Il faut ainsi qu'il existe un rapport raisonnable entre le but recherché par la mesure prise et la restriction à la liberté personnelle qui en découle pour celui qui en fait l'objet (cf. ATF 130 I 65 consid. 3.5.1 et les références citées).</w:t>
      </w:r>
    </w:p>
    <w:p>
      <w:r>
        <w:rPr>
          <w:b/>
        </w:rPr>
        <w:t>E. 5.2</w:t>
      </w:r>
    </w:p>
    <w:p>
      <w:r>
        <w:t>L'interdiction d'entrée frappant un étranger indésirable au sens de l'art. 13 al. 1 phr. 1 aLSEE, ce qui est le cas ici,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les art. 13 al. 1 phr. 2 aLSEE et 17 al. 4 aRSEE (cf. JAAC 63.1 consid. 12c ; cf. également Peter Sulger Büel, Vollzug von Fernhalte- und Entfernungsmassnahmen gegenüber Fremden nach dem Recht des Bundes und des Kantons Zürich, Berne/Francfort-sur-le-Main/Nancy/New York 1984, p. 79s.).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(cf. art. 11 al. 3 aLSEE et 16 al. 3 aRSEE)</w:t>
      </w:r>
    </w:p>
    <w:p>
      <w:r>
        <w:rPr>
          <w:b/>
        </w:rPr>
        <w:t>E. 5.3</w:t>
      </w:r>
    </w:p>
    <w:p>
      <w:r>
        <w:t>In casu, force est de constater une fois encore que les infractions imputées à A._______ sont objectivement graves. La condamnation à quinze mois d'emprisonnement avec sursis pendant cinq ans est à cet égard tout à fait révélatrice. Quant aux autres éléments à prendre en considération, le Tribunal observe que le recourant n'est arrivé en Suisse qu'en 2005 et n'a vécu librement sur sol helvétique que quelques mois, avant d'y subir près d'une année de détention préventive. Il y occupait sans autorisation un emploi de portier, respectivement d'agent de sécurité, dans un établissement public lausannois, à satisfaction de son employeur (cf. attestation du 28 juillet 2005 à l'attention des autorités vaudoises). Force est toutefois de constater que durant cette courte période, le recourant a mis sur pied une transaction portant sur une grande quantité de stupéfiants. Une telle attitude ne correspond manifestement pas à ce que l'on est en droit d'attendre d'un étranger désireux de s'intégrer dans un nouveau pays. Pour le surplus, le dossier ne contient que peu d'informations relatives à l'intégration du recourant dans la société suisse et les liens qu'il y entretient, si ce n'est que le recourant a une tante résidant dans le canton de Vaud. S'agissant de sa situation actuelle, le recourant réside en France, pays où il est arrivé en 2003 en provenance du Maroc, et qui lui a octroyé une autorisation de séjour et où vit son ex-épouse. Il y aurait développé une activité commerciale qui nécessiterait des voyages en Suisse. Il ne fournit toutefois aucune information plus précise quant au genre d'activités, à la clientèle et au marché visés, de telle sorte qu'il est permis de douter du caractère indispensable des entrées sur le territoire helvétique pour la pérennité de cette entreprise. Le Tribunal relève en outre les contradictions du recourant, qui prétend désormais avoir trouvé un emploi au sein d'une entreprise vaudoise, laquelle ne saurait se passer de ses compétences, ce qui n'est pas davantage établi. Dans ces circonstances, il est permis de douter des activités que le recourant entend réellement mener pour subvenir à ses besoins. De surcroît, son existence économique n'est nullement remise en cause par la mesure prononcée à son égard, attendu qu'il peut sans autre trouver un emploi en France, voire au Maroc, respectivement y poursuivre son activité. Finalement, la situation familiale du recourant ne se trouve nullement péjorée par la durée de l'interdiction prononcée, en ce qu'il n'a en Suisse qu'une tante et sa fiancée, lesquelles peuvent sans difficultés lui rendre visite en France, comme précédemment relevé. La situation pourrait par ailleurs donner lieu à une réévaluation si les projets de mariage devaient finalement aboutir.</w:t>
      </w:r>
    </w:p>
    <w:p>
      <w:r>
        <w:rPr>
          <w:b/>
        </w:rPr>
        <w:t>E. 5.4</w:t>
      </w:r>
    </w:p>
    <w:p>
      <w:r>
        <w:t>Tenant compte de l'ensemble des éléments objectifs et subjectifs de la cause, ainsi qu'au regard de la pratique adoptée par les autorités dans des cas similaires, le TAF estime ainsi que le maintien de l'interdiction d'entrée pour une durée de cinq ans apparaît nécessaire et proportionné et est conforme au résultat de la pesée des intérêts.</w:t>
      </w:r>
    </w:p>
    <w:p>
      <w:r>
        <w:rPr>
          <w:b/>
        </w:rPr>
        <w:t>E. 6</w:t>
      </w:r>
    </w:p>
    <w:p>
      <w:r>
        <w:t>L'autorité inférieure n'a ainsi pas constaté les faits de manière inexacte ou incomplète ni violé le droit fédéral. La décision attaquée n'étant pas inopportune (cf. art. 49 PA), il convient de rejeter le recours.</w:t>
      </w:r>
    </w:p>
    <w:p>
      <w:r>
        <w:rPr>
          <w:b/>
        </w:rPr>
        <w:t>E. 7</w:t>
      </w:r>
    </w:p>
    <w:p>
      <w:r>
        <w:t>Vu l'issue du recours, les frais de procédure, qui s'élèvent à Fr. 600.-, sont mis à la charge du recourant (art. 63 al. 1 PA et art. 1 à 3 du règlement du Tribunal administratif fédéral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