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C-6079/2012 vom 24. Juni 2013</w:t>
      </w:r>
    </w:p>
    <w:p>
      <w:r>
        <w:t>Bundesverwaltungsgericht, 2013-06-24, DE</w:t>
      </w:r>
    </w:p>
    <w:p>
      <w:r>
        <w:rPr>
          <w:b/>
        </w:rPr>
        <w:t xml:space="preserve">Quelle: </w:t>
      </w:r>
      <w:r>
        <w:t>https://mcp.opencaselaw.ch/entscheid/bvger_C-6079_2012</w:t>
      </w:r>
    </w:p>
    <w:p>
      <w:r>
        <w:t>FR: TAF C-6079/2012 du 24 juin 2013</w:t>
      </w:r>
    </w:p>
    <w:p>
      <w:r>
        <w:t>IT: TAF C-6079/2012 del 24 giugno 2013</w:t>
      </w:r>
    </w:p>
    <w:p>
      <w:pPr>
        <w:pStyle w:val="Heading2"/>
      </w:pPr>
      <w:r>
        <w:t>Regeste</w:t>
      </w:r>
    </w:p>
    <w:p>
      <w:r>
        <w:t>Schengen-Visum</w:t>
      </w:r>
    </w:p>
    <w:p>
      <w:pPr>
        <w:pStyle w:val="Heading2"/>
      </w:pPr>
      <w:r>
        <w:t>Erwägungen</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2011/43 E. 6.1 und BVGE 2011/1 E. 2).</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w:t>
      </w:r>
    </w:p>
    <w:p>
      <w:r>
        <w:rPr>
          <w:b/>
        </w:rPr>
        <w:t>E. 4</w:t>
      </w:r>
    </w:p>
    <w:p>
      <w:r>
        <w:t>Die inländischen Bestimmungen über das Visumsverfahren und über die Ein- und Ausreise finden Anwendung, sofern die Schengen-Assozi­ierungsabkommen keine abweichenden Bestimmungen enthalten (vgl. Art. 2 Abs. 4 und 5 des Bundesgesetzes vom 16. Dezember 2005 über die Ausländerinnen und Ausländer [AuG, SR 142.20]). 5.1 Angehörige von Staaten, die nicht Teil des Schengen-Raumes sind (sog.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Visumserteilung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 5.2 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bieten (Art. 14 Abs. 1 Bst. c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Bst. e SGK). 5.3 Sind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6</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Eritrea in dieser Liste aufgeführt ist, unterliegt die Gesuchstellerin der Visumspflicht. 7.1 Die Vorinstanz begründet die Abweisung der Einsprache damit, dass die Wiederausreise der Gesuchstellerin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 7.2 Der Index für menschliche Entwicklung (HDI) der Vereinten Nationen platziert Eritrea in den Jahren 2007/2008 auf Rang 153 von 177 beurteilten Ländern. Die grossen Hoffnungen eines wirtschaftlichen Aufschwungs Eritreas nach dessen Unabhängigkeit zerfielen bald. Der Konflikt mit Äthiopien in den Jahren 1998 bis 2000 und die anhaltende Militarisierung der Bevölkerung hat die eritreische Nahrungsmittel- und Industrieproduktion enorm gebremst. Die eritreische Wirtschaft befindet sich in einem desolaten Zustand. Das Land ist auf Lebensmittelimporte und Geldzahlungen aus den Ausland angewiesen (Quelle: Philipp Eyer / Régine Schweizer, Die somalische und die eritreische Diaspora in der Schweiz, Bundesamt für Migration [Hrsg.], August 2010, S. 14). Hinzu kommt, dass die Ausübung von Grundrechten, wie z.B. Rede- und Meinungsfreiheit, Versammlungs- und Religionsfreiheit, nicht oder nur extrem eingeschränkt möglich ist. Eine freie Presse existiert nicht; Rundfunk und Fernsehen unterliegen staatlicher Kontrolle (Quelle: Deutsches Auswärtiges Amt, im Internet unter www.auswaertiges-amt.de &gt; Reise und Sicherheit &gt; Reise- und Sicherheitshinweise: Länder A- Z &gt; Eritrea &gt; Innenpolitik, Stand: Juni 2012, besucht im Mai 2013). Vor diesem Hintergrund erstaunt es nicht, dass die eritreische Gemeinschaft in der Schweiz in den letzten Jahren bedeutenden Zuwachs erhalten hat. Dies insbesondere durch den markanten Anstieg von Asylsuchenden (Quelle: Philipp Eyer / Régine Schweizer, a.a.O., S. 29). Gemäss der schweizerischen Asylstatistik stellten Personen aus Eritrea im ersten Quartal des Jahres 2013 mit 545 Gesuchen die drittgrösste Gruppe von Asylsuchenden (Quelle: Bundesamt für Migration, http://www.bfm.admin.ch &gt; Dokumentation &gt; Zahlen und Fakten &gt; Asylstatistik &gt; Monatsstatistiken &gt; kommentierte Asylstatistik 1. Quartal 2013, S. 8). Dabei kann auch ein im Ausland bereits bestehendes, minimales soziales Beziehungsnetz (Verwandte oder Freunde) eine wichtige Rolle spielen, um den Entscheid auszuwandern zu erleichtern. 7.3 Angesichts der geschilderten Umstände ist nicht zu beanstanden, dass die Vorinstanz das Risiko einer nicht fristgerechten Wiederausreise von Besuchern aus Eritrea allgemein als hoch einschätzt.</w:t>
      </w:r>
    </w:p>
    <w:p>
      <w:r>
        <w:rPr>
          <w:b/>
        </w:rPr>
        <w:t>E. 8</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8.1</w:t>
      </w:r>
    </w:p>
    <w:p>
      <w:r>
        <w:t>Bei der Gesuchstellerin handelt es sich um eine mittlerweile 61-jährige Hausfrau, die mit ihrem Ehemann und drei Kindern (geb. 1990, 1992 und 1996) in einer kürzlich neu renovierten 4-Zimmerwohnung in Asmara wohnt, wo sie seit 45 Jahren im gleichen Quartier lebt (vgl. Schreiben des Beschwerdeführers vom 8. April 2013). Zwei der Kinder haben bereits eine Ausbildung absolviert, wobei der 23-jährige S._______ im [...] als Büroangestellter arbeitet. Die Tochter M._______ ist - nach Abschluss der Ausbildung zur Köchin - auf der Suche nach einer Arbeitsstelle und besucht einen Englischkurs (vgl. Schreiben "X._______" vom 7. März 2012, Bestätigung "Kochschule S._______" vom 7. März 2013 und undatierte Bestätigung "V._______ Language and IT Center"). Lediglich der bald 17 Jahre alte Sohn M._______ geht noch zur Schule (vgl. Kopie "Student Report Card" der X._______ School sowie Kopie "Studentenausweis") und wird diese im Sommer 2014 abschliessen. Zwar ist der Vorinstanz zuzustimmen, dass aufgrund des Alters der Kinder nicht davon auszugehen ist, diese seien zwingend auf die Unterstützung und Anwesenheit der Gesuchstellerin angewiesen. Insgesamt ist bei ihr jedoch von stabilen persönlichen Verhältnissen auszugehen, die auf eine starke familiäre Einbindung schliessen lassen. Den Akten lässt sich zudem entnehmen, dass sich die Familie der Gesuchstellerin in wirtschaftlich erträglichen Verhältnissen befindet. Der Ehemann und Familienvater arbeitet als Fahrer und erzielt ein Jahreseinkommen von 18'000 ERN (ca. 1'200 USD; vgl. Schreiben "X._______Office" vom 11. Februar 2013). Damit verdient er - wie bereits der Beschwerdeführer ausführt - ein vielfaches des jährlichen eritreischen Durchschnittseinkommens von 430 USD (Quelle: http://durchschnittseinkommen.net/liste-durchschnittseinkommen/, Stand: 11. April 2013; besucht im Mai 2013). Gemäss Angaben des Beschwerdeführers könne auch sein im selben Haushalt wohnhafter Bruder zur Bestreitung der Familienausgaben beitragen. Zudem überweise er selbst monatlich rund Fr. 200.- bis Fr. 300.- an seine Familie nach Eritrea (vgl. Schreiben vom 8. April 2013).</w:t>
      </w:r>
    </w:p>
    <w:p>
      <w:r>
        <w:rPr>
          <w:b/>
        </w:rPr>
        <w:t>E. 8.2</w:t>
      </w:r>
    </w:p>
    <w:p>
      <w:r>
        <w:t>Nicht ausser Acht gelassen werden darf auch der Umstand, dass es sich bei der Gesuchstellerin - welche ihr ganzes bisheriges Leben in Eritrea verbracht hat (vgl. Einsprache vom 13. August 2012) - um die Mutter des Beschwerdeführers handelt, welche er nun seit mittlerweile acht Jahren nicht mehr gesehen hat. Der Wunsch von Mutter und Sohn, sich zu treffen, ist ohne Weiteres nachvollziehbar und stützt insofern die Vermutung, dass die ausländerrechtlichen Bestimmungen respektiert werden.</w:t>
      </w:r>
    </w:p>
    <w:p>
      <w:r>
        <w:rPr>
          <w:b/>
        </w:rPr>
        <w:t>E. 8.3</w:t>
      </w:r>
    </w:p>
    <w:p>
      <w:r>
        <w:t>Vor diesem Hintergrund erscheint bei der Gesuchstellerin die Absicht einer möglichen Emigration als gering. Kommt hinzu, dass sie aufgrund ihres Alters nicht zu jener Personengruppe gehört, von der ein grosses Emigrationsrisiko ausgeht (vgl. dazu http://www.bfm.admin.ch &gt; Dokumentation &gt; Zahlen und Fakten &gt; Asylstatistik &gt; Jahresstatistiken &gt; kommentierte Asylstatistik 2012, S. 10, Grafik 7: Asylsuchende nach Geschlecht und Altersklassen [ohne vorläufig Aufgenommene]).</w:t>
      </w:r>
    </w:p>
    <w:p>
      <w:r>
        <w:rPr>
          <w:b/>
        </w:rPr>
        <w:t>E. 9</w:t>
      </w:r>
    </w:p>
    <w:p>
      <w:r>
        <w:t>Die aufgezeigten Verhältnisse lassen bei der Gesuchstellerin auf eine genügende Gewähr für lautere Absichten bzw. die Wahrscheinlichkeit regelkonformen Verhaltens schliessen. Auch wenn das Risiko für eine Missachtung ausländerrechtlicher Normen nie gänzlich ausgeschlossen werden kann, erscheint es vorliegend doch als gering. Es ist mit anderen Worten nicht davon auszugehen, es bestünden Hinderungsgründe dieser Art gemäss Art. 5 SGK bzw. Art. 5 AuG für die Erteilung des beantragten Visums.</w:t>
      </w:r>
    </w:p>
    <w:p>
      <w:r>
        <w:rPr>
          <w:b/>
        </w:rPr>
        <w:t>E. 10</w:t>
      </w:r>
    </w:p>
    <w:p>
      <w:r>
        <w:t>Indem die Vorinstanz den entscheidsrelevanten Sachverhalt wesentlich anders gewichtete, hat sie Bundesrecht verletzt (Art. 49 Bst. a VwVG). Die Beschwerde ist daher gutzuheissen, die angefochtene Verfügung ist aufzuheben und die Sache zur neuerlichen Beurteilung an die Vorinstanz zurückzuweisen. Dabei bleibt von der Vorinstanz zu prüfen, ob auch die übrigen in Art. 5 SGK genannten Einreisevoraussetzungen erfüllt sind, oder allenfalls gemäss Art. 2 Abs. 4 VEV ein Visum mit räumlich beschränkter Gültigkeit zu erteilen ist. 11.1 Bei diesem Ausgang des Verfahrens sind keine Kosten aufzuerlegen (Art. 63 Abs. 1 e contrario und 2 VwVG) und der geleistete Kosten­vorschuss ist zurückzuerstatten. 11.2 Der Beschwerdeführer hat gemäss Art. 64 Abs. 1 VwVG Anrecht auf eine Parteientschädigung für die ihm erwachsenen notwendigen Kosten (vgl. auch Art. 7 ff. des Reglements vom 21. Februar 2008 über die Kosten und Entschädigungen vor dem Bundesverwaltungsgericht [VGKE, SR 173.320.2]). Diese Entschädigung geht zu Lasten der Vorinstanz (vgl. Art. 64 Abs. 2 VwVG). Es wurde keine Kostennote eingereicht, so dass das Gericht die Parteientschädigung ab Tätigwerden des Rechtsvertreters aufgrund der Akten (vgl. Art. 14 VGKE i.V.m. Art. 10 Abs. 2 VGKE) festsetzt.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