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C-6066/2014 vom 21. April 2016</w:t>
      </w:r>
    </w:p>
    <w:p>
      <w:r>
        <w:t>Bundesverwaltungsgericht, 2016-04-21, DE</w:t>
      </w:r>
    </w:p>
    <w:p>
      <w:r>
        <w:rPr>
          <w:b/>
        </w:rPr>
        <w:t xml:space="preserve">Quelle: </w:t>
      </w:r>
      <w:r>
        <w:t>https://mcp.opencaselaw.ch/entscheid/bvger_C-6066_2014</w:t>
      </w:r>
    </w:p>
    <w:p>
      <w:r>
        <w:t>FR: TAF C-6066/2014 du 21 avril 2016</w:t>
      </w:r>
    </w:p>
    <w:p>
      <w:r>
        <w:t>IT: TAF C-6066/2014 del 21 aprile 2016</w:t>
      </w:r>
    </w:p>
    <w:p>
      <w:pPr>
        <w:pStyle w:val="Heading2"/>
      </w:pPr>
      <w:r>
        <w:t>Regeste</w:t>
      </w:r>
    </w:p>
    <w:p>
      <w:r>
        <w:t>Spezialitätenliste in der Krankenversicherung</w:t>
      </w:r>
    </w:p>
    <w:p>
      <w:pPr>
        <w:pStyle w:val="Heading2"/>
      </w:pPr>
      <w:r>
        <w:t>Erwägungen</w:t>
      </w:r>
    </w:p>
    <w:p>
      <w:r>
        <w:rPr>
          <w:b/>
        </w:rPr>
        <w:t>E. 1</w:t>
      </w:r>
    </w:p>
    <w:p>
      <w:r>
        <w:t>Die Zuständigkeit des Bundesverwaltungsgerichts zur Beurteilung der vorliegenden Beschwerde vom 20. Oktober 2014 gegen die als Verfügung im Sinn von Art. 5 Abs. 1 VwVG zu qualifizierende Anordnung der Vorinstanz vom 19. September 2014 ergibt sich aus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innert Frist geleistet wurde, ist auf die Beschwerde einzutreten.</w:t>
      </w:r>
    </w:p>
    <w:p>
      <w:r>
        <w:rPr>
          <w:b/>
        </w:rPr>
        <w:t>E. 2</w:t>
      </w:r>
    </w:p>
    <w:p>
      <w:r>
        <w:t>Anfechtungsobjekt ist die Verfügung der Vorinstanz vom 19. September 2014, mit welcher im Rahmen der Überprüfung der Aufnahmebedingungen alle drei Jahre der Publikumspreis (PP) des von der Beschwerdeführerin vertriebenen Arzneimittels B._______ unter alleiniger Anwendung des APV per 1. November 2014 um 12.9 % gesenkt wurde. Streitgegenstand, der sich grundsätzlich durch den Gegenstand der angefochtenen Verfügung sowie die Parteibegehren bestimmt (BGE 133 II 35 E. 2), ist hier die angeordnete Preissenkung für alle Formen von B._______ und deren Publikation im Bulletin des BAG. Die Beschwerdeführerin rügt insbesondere eine Verletzung des Legalitätsprinzips betreffend Wirtschaftlichkeitsprüfung sowie eine Verletzung der Wirtschaftsfreiheit betreffend der Preisbildung. Die Vorinstanz hat der Beschwerde die aufschiebende Wirkung nicht entzogen und folgerichtig auch Ziffer 2 der angefochtenen Verfügung nicht vollzogen, wonach die neuen Preise im Bulletin des BAG vom November 2014 veröffentlicht werden (vgl. BVGer-act. 2). Es erübrigt sich deshalb, auf das diesbezügliche Rechtsbegehren der Beschwerdeführerin einzugehen.</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 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(vgl. BVGE 2007/17 E. 2.2; BGE 123 V 152 E. 2 mit Hinweisen; Urteil des BGer 8C_676/2010 vom 11. Februar 2011; Benjamin Schindler, in: Kommentar zum Bundesgesetz über das Verwaltungsverfahren [VwVG], 2008, Rz. 26 zu Art. 49).</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3.3</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(nachfolgend: SL-Handbuch; abrufbar unter www.bag.admin.ch &gt; Themen &gt; Krankenversicherung &gt; Tarife und Preise &gt; Spezialitätenliste &gt; 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mit Hinweisen).</w:t>
      </w:r>
    </w:p>
    <w:p>
      <w:r>
        <w:rPr>
          <w:b/>
        </w:rPr>
        <w:t>E. 3.4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3.5</w:t>
      </w:r>
    </w:p>
    <w:p>
      <w:r>
        <w:t>In zeitlicher Hinsicht sind grundsätzlich diejenigen materiell-rechtlichen Rechtssätze massgebend, die bei der Erfüllung des zu Rechtsfolgen führenden Sachverhalts Geltung haben (BGE 130 V 329 E. 2.3; 134 V 315 E. 1.2). Massgebend sind vorliegend die im Zeitpunkt der Verfügung, also am 19. September 2014 geltenden materiellen Bestimmungen (vgl. Urteil des BVGer C-2979/2008 vom 1. Dezember 2010 E. 4.1). Dazu gehören neben dem KVG (SR 832.10) in der aktuellen Fassung einerseits namentlich die Fassungen der KVV (SR 832.102) und der KLV (SR 832.112.31) gemäss den Änderungen vom 8. Mai 2013, die am 1. Juni 2013 in Kraft traten (AS 2013 1353; AS 2013 1357). Im Folgenden werden die Verordnungsbestimmungen ohne anderslautende Angabe in derjenigen Fassung zitiert, wie sie am 19. September 2014 in Kraft standen.</w:t>
      </w:r>
    </w:p>
    <w:p>
      <w:r>
        <w:rPr>
          <w:b/>
        </w:rPr>
        <w:t>E. 4.1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139 V 375 E. 4.2 mit Hinweisen).</w:t>
      </w:r>
    </w:p>
    <w:p>
      <w:r>
        <w:rPr>
          <w:b/>
        </w:rPr>
        <w:t>E. 4.4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129 V 32 E. 3.2.1).</w:t>
      </w:r>
    </w:p>
    <w:p>
      <w:r>
        <w:rPr>
          <w:b/>
        </w:rPr>
        <w:t>E. 4.5</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4.6</w:t>
      </w:r>
    </w:p>
    <w:p>
      <w:r>
        <w:t>Die Aufnahme eines Arzneimittels in die Spezialitätenliste setzt voraus, dass es wirksam, zweckmässig und wirtschaftlich ist und eine gültige Zulassung des Heilmittelinstituts (Swissmedic) vorliegt (Art. 65 Abs. 1 und 3 KVV und Art. 30 Abs. 1 KLV). Das BAG kann die Aufnahme mit Bedingungen und Auflagen versehen (Art. 65 Abs. 5 KVV). Im Weiteren kann gemäss Art. 73 KVV die Aufnahme in die Spezialitätenliste unter der Bedingung einer Limitierung erfolgen. Die Limitierung kann sich insbesondere auf die Menge oder die medizinischen Indikationen beziehen. Ein in der Spezialitätenliste aufgeführtes Arzneimittel wird gemäss Art. 68 Abs. 1 KVV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oder die Gebühren oder Kosten nach Art. 71 KVV nicht rechtzeitig entrichtet werden (Bst. e).</w:t>
      </w:r>
    </w:p>
    <w:p>
      <w:r>
        <w:rPr>
          <w:b/>
        </w:rPr>
        <w:t>E. 4.7</w:t>
      </w:r>
    </w:p>
    <w:p>
      <w:r>
        <w:t>Das BAG überprüft bei sämtlichen Arzneimitteln, die in der Spezialitätenliste aufgeführt sind, periodisch alle drei Jahre, ob sie die Aufnahmebedingungen noch erfüllen (Art. 65d Abs. 1 KVV i.V.m. Art. 35b Abs. 1 KLV). Diese Überprüfung findet auch statt bei Ablauf des Patentschutzes von Originalpräparaten (Art. 65e Abs. 1 KVV), bei einer Indikationserweiterung oder Limitierungsänderung (Art. 65f Abs. 1 KVV) sowie bei einem Preiserhöhungsgesuch (Art. 36 Abs. 1 KLV; vgl. auch Thomas Gächter/Arlette Meienberger, Rechtsgutachten vom 8. Februar 2013 zuhanden der Parlamentarischen Verwaltungskontrolle zur Evaluation der Zulassung und Überprüfung von Medikamenten in der obligatorischen Krankenpflegeversicherung, S. 28 Rz. 32, www.parlament.ch &gt; Organe und Mitglieder &gt; Kommissionen &gt; Parlamentarische Verwaltungskontrolle &gt; Veröffentlichungen &gt; Berichte 2013-2014, abgerufen am 25. Februar 2016).</w:t>
      </w:r>
    </w:p>
    <w:p>
      <w:r>
        <w:rPr>
          <w:b/>
        </w:rPr>
        <w:t>E. 5</w:t>
      </w:r>
    </w:p>
    <w:p>
      <w:r>
        <w:t>Nicht strittig ist, dass für das Arzneimittel B._______ nach wie vor eine gültige Zulassung des Heilmittelinstituts (Swissmedic) vorliegt (siehe auch die Liste der zugelassenen Präparate auf www.swissmedic.ch &gt; Arzneimittel &gt; Zugelassene Präparate &gt; Human- und Tierarzneimittel, abgerufen am 25. Februar 2016). Ebenfalls nicht umstritten ist, dass B._______ die Zulassungsvoraussetzungen der Wirksamkeit und Zweckmässigkeit immer noch erfüllt. Umstritten und zu prüfen ist die Beurteilung der Wirtschaftlichkeit im Rahmen der dreijährlichen Überprüfung. Dabei ist angesichts des vom Bundesgericht mit Urteil 9C_417/2015 vom 14. Dezember 2015 bestätigten Grundsatzurteils des Bundesverwaltungsgerichts C-5912/2013 als Erstes zu klären, ob die Vorinstanz die umstrittenen Medikamentenpreissenkungen ausschliesslich gestützt auf einen APV ohne Durchführung eines TQV verfügen durfte.</w:t>
      </w:r>
    </w:p>
    <w:p>
      <w:r>
        <w:rPr>
          <w:b/>
        </w:rPr>
        <w:t>E. 5.1</w:t>
      </w:r>
    </w:p>
    <w:p>
      <w:r>
        <w:t>Ein Arzneimittel gilt nach Art. 65b KVV als wirtschaftlich, wenn es die indizierte Heilwirkung mit möglichst geringem finanziellem Aufwand gewährleistet (Abs. 1). Die Wirtschaftlichkeit wird aufgrund des Vergleichs mit anderen Arzneimitteln und der Preisgestaltung im Ausland beurteilt (Abs. 2). Der APV erfolgt summarisch, wenn er mangels Zulassung in den Vergleichsländern zum Zeitpunkt des Gesuchs um Aufnahme nicht oder nur unvollständig vorgenommen werden kann (Abs. 3). Die Kosten für Forschung und Entwicklung sind bei der Beurteilung der Wirtschaftlichkeit eines Originalpräparates angemessen zu berücksichtigen. Zur Abgeltung dieser Kosten wird im Preis ein Innovationszuschlag berücksichtigt, wenn das Arzneimittel in der medizinischen Behandlung einen Fortschritt bedeutet (Abs. 4). Nach Art. 34 Abs. 2 KLV werden für die Beurteilung der Wirtschaftlichkeit eines Arzneimittels berücksichtigt: dessen Fabrikabgabepreis im Ausland (Bst. a), dessen Wirksamkeit im Verhältnis zu anderen Arzneimitteln gleicher Indikation oder ähnlicher Wirkungsweise (Bst. b), dessen Kosten pro Tag oder Kur im Verhältnis zu den Kosten von Arzneimitteln gleicher Indikation oder ähnlicher Wirkungsweise (Bst. c) und bei einem Arzneimittel im Sinne von Art. 31 Abs. 2 Bst. a und b KLV ein Innovationszuschlag für die Dauer von höchstens 15 Jahren, in dem die Kosten für Forschung und Entwicklung angemessen zu berücksichtigen sind (Bst. d).</w:t>
      </w:r>
    </w:p>
    <w:p>
      <w:r>
        <w:rPr>
          <w:b/>
        </w:rPr>
        <w:t>E. 5.2</w:t>
      </w:r>
    </w:p>
    <w:p>
      <w:r>
        <w:t>Im Rahmen der dreijährlichen Überprüfung wird gemäss Art. 65d KVV bei der Beurteilung der Wirtschaftlichkeit der Vergleich mit anderen Arzneimitteln nur durchgeführt, wenn der Vergleich mit der Preisgestaltung im Ausland nicht möglich ist (Abs. 1bis Bst. a) oder seit der letzten Überprüfung der Aufnahmebedingungen eine Preissenkung nach Art. 65f Abs. 2 erster Satz KVV vorgenommen wurde (Abs. 1bis Bst. b). Das Departement kann beim APV eine Toleranzmarge vorsehen, mit der Wechselkursschwankungen berücksichtigt werden (Abs. 1ter). Ergibt die Überprüfung der Wirtschaftlichkeit aufgrund der umsatzstärksten Packung, dass der geltende Höchstpreis zu hoch ist, so verfügt das BAG auf den 1. November des Überprüfungsjahres eine angemessene Preissenkung (Abs. 2). Die Inhaberinnen der Zulassungen haben dem BAG alle notwendigen Unterlagen zuzustellen. Das Departement erlässt zum Verfahren der Überprüfung nähere Vorschriften (Abs. 3).</w:t>
      </w:r>
    </w:p>
    <w:p>
      <w:r>
        <w:rPr>
          <w:b/>
        </w:rPr>
        <w:t>E. 5.3</w:t>
      </w:r>
    </w:p>
    <w:p>
      <w:r>
        <w:t>Die Vorinstanz hat in der angefochtenen Verfügung festgehalten, dass bei der Überprüfung der Aufnahmebedingungen alle drei Jahre die Beurteilung der Wirtschaftlichkeit primär auf dem APV basiere. Der TQV komme bei der Überprüfung der Aufnahmebedingungen alle drei Jahre nur dann zur Anwendung, wenn der Vergleich mit der Preisgestaltung im Ausland nicht möglich sei, das heisse, wenn das Arzneimittel in keinem der sechs Referenzländer im Handel sei. Ausserdem komme der TQV bei der dreijährlichen Überprüfung der Aufnahmebedingungen dann zur Anwendung, wenn seit der letzten Überprüfung der Aufnahmebedingungen eine Preissenkung aufgrund einer Indikationserweiterung bzw. Limitationsänderung oder Limitationsaufhebung vorgenommen worden sei.</w:t>
      </w:r>
    </w:p>
    <w:p>
      <w:r>
        <w:rPr>
          <w:b/>
        </w:rPr>
        <w:t>E. 5.4</w:t>
      </w:r>
    </w:p>
    <w:p>
      <w:r>
        <w:t>Wie das Bundesverwaltungsgericht im Grundsatzurteil C-5912/2013 entschieden hat, stellt eine Wirtschaftlichkeitsprüfung im Rahmen der dreijährlichen Überprüfung der Aufnahmebedingungen unter alleiniger Anwendung des APV keine rechtsgenügliche Wirtschaftlichkeitsprüfung dar, wie sie von Art. 32 Abs. 1 KVG vorgeschrieben wird. Das BAG stützte sich im beurteilten Fall auf Art. 65d Abs. 1bis Bst. a KVV, wonach bei der Beurteilung der Wirtschaftlichkeit der Vergleich mit anderen Arzneimitteln nur durchgeführt wird, wenn der Vergleich mit der Preisgestaltung im Ausland nicht möglich ist. Das Bundesverwaltungsgericht hat diese Verordnungsbestimmung als nicht gesetzeskonform qualifiziert (E. 8.3). Es hat festgehalten, dass der Begriff der Wirtschaftlichkeit im Prinzip sowohl für die Aufnahme eines Arzneimittels in die SL als auch bei der periodischen Überprüfung der Aufnahmebedingungen einheitlich zu definieren und zu prüfen sei. Es sei daran festzuhalten, dass der TQV einen wesensnotwendigen Bestandteil der Wirtschaftlichkeitsprüfung bilde. Eine Prüfung, welche sich auf den APV beschränke, obwohl ein TQV möglich wäre, könne offensichtlich nicht als umfassend im Sinne von Art. 32 Abs. 1 KVG bezeichnet werden, handle es sich dabei doch um eine einschränkende, unsachgemässe Konkretisierung des Wirtschaftlichkeitsgrundsatzes (E. 8.3.5). Der Verordnungsgeber sei nicht berechtigt einen anderen Massstab zur Beurteilung des in Art. 32 Abs. 1 KVG vorgesehenen Kriteriums der Wirtschaftlichkeit einzuführen und einen anderen (eingeschränkteren) als den bisher in steter Praxis als gesetzeskonform definierten Wirtschaftlichkeitsbegriff zu verwenden (E. 8.3). Die vorgenommene Preissenkung beruhe damit nicht auf einer ausreichenden Rechtsgrundlage, womit eine Verletzung des Legalitätsprinzips nach Art. 5 Abs. 1 BV vorliege, was zur Aufhebung der in casu angefochtenen Verfügung führe (E. 9).</w:t>
      </w:r>
    </w:p>
    <w:p>
      <w:r>
        <w:rPr>
          <w:b/>
        </w:rPr>
        <w:t>E. 5.5</w:t>
      </w:r>
    </w:p>
    <w:p>
      <w:r>
        <w:t>Mit Blick auf das dargelegte und vom Bundesgericht mit Urteil 9C_417/2015 bestätigte Grundsatzurteil des Bundesverwaltungsgerichts C-5912/2013 ist festzuhalten, dass die von der Vorinstanz im Rahmen der dreijährlichen Prüfung allein gestützt auf den APV verfügte Preissenkung nicht auf einer ausreichenden Rechtsgrundlage beruht, was auch im vorliegenden Fall zur Aufhebung der angefochtenen Verfügung vom 19. September 2014 führt. Die Streitsache ist demnach an die Vorinstanz zur Vornahme einer neuen, umfassenden Wirtschaftlichkeitsprüfung im Sinne der vorstehenden Erwägung zurückzuweisen. Die Überprüfung der Aufnahmebedingungen wird dabei anhand von APV und TQV vorzunehmen sein. Nicht zu beurteilen ist, wie der TQV im vorliegenden Fall konkret auszugestalten und wie die Vergleichsgruppe zu bestimmen ist.</w:t>
      </w:r>
    </w:p>
    <w:p>
      <w:r>
        <w:rPr>
          <w:b/>
        </w:rPr>
        <w:t>E. 6</w:t>
      </w:r>
    </w:p>
    <w:p>
      <w:r>
        <w:t>Auch wenn die umstrittene Preisreduktion aufgrund des unvollständig abgeklärten Sachverhalts im Zusammenhang mit dem TQV aufzuheben ist, sind im Folgenden die von der Beschwerdeführerin erhobenen Einwendungen gegen den im konkreten Fall vorgenommenen APV zu prüfen.</w:t>
      </w:r>
    </w:p>
    <w:p>
      <w:r>
        <w:rPr>
          <w:b/>
        </w:rPr>
        <w:t>E. 6.1</w:t>
      </w:r>
    </w:p>
    <w:p>
      <w:r>
        <w:t>Die Vorinstanz hat im vorliegenden Fall den APV gestützt auf die Angaben der Beschwerdeführerin mit den Ländern Dänemark, Deutschland, Niederlande, Grossbritannien, Frankreich und Österreich durchgeführt und dabei auf einen Wechselkurs von 1.23 CHF/EUR (bzw. 0.1651 CHF/DKK und 1.45 CHF/GBP) abgestellt. Unter Berücksichtigung der von der Beschwerdeführerin beantragten Toleranzmarge von 5 % kam die Vorinstanz gestützt auf diesen APV zum Schluss, dass der Schweizer Preis von B._______ 12.9 % höher ist als der durchschnittliche in Schweizerfranken umgerechnete FAP der Vergleichsländer. Unbestritten sind die in den APV einbezogenen Vergleichsländer sowie die jeweiligen FAP der Vergleichsländer. Soweit die Beschwerdeführerin geltend macht, dass die angeordnete Preisreduktion von 12.9 % einzig auf den Zerfall der Vergleichswährungen, allen voran des Euro, zurückzuführen sei und die FAP in den Vergleichsländern seit 2010 praktisch unverändert seien, wird das von der Vorinstanz ebenfalls nicht in Abrede gestellt.</w:t>
      </w:r>
    </w:p>
    <w:p>
      <w:r>
        <w:rPr>
          <w:b/>
        </w:rPr>
        <w:t>E. 6.2</w:t>
      </w:r>
    </w:p>
    <w:p>
      <w:r>
        <w:t>Die Beschwerdeführerin rügt, dass rein wechselkursbedingte Preissenkungen unzulässig seien und sieht das Legalitätsprinzip verletzt. Mit der Einführung eines Vergleichs mit dem Preis im Ausland sei die Anpassung des schweizerischen Preisniveaus an die Preisentwicklung und das Preisniveau im Ausland angestrebt worden. Es sei aber nie die Meinung gewesen, dass die Schweizer Preise unbesehen den Währungsrisiken ausgesetzt werden sollten. Falls sich die Preise im Ausland nicht änderten, bestehe kein Anlass, den Schweizer Preis zu ändern. Zum Ausgleich von Wechselkursschwankungen sei im Jahr 2009 eine Toleranzmarge von 3 % eingeführt worden, die im Jahr 2012 auf 5 % erhöht worden sei. Diese Toleranzmarge sei aber ungenügend, um den massiven und nicht vorhersehbaren Währungsverlust auszugleichen. Um den Währungsverlust im Fall von B._______ auszugleichen, wäre eine Toleranzmarge von 16 % bis 19 % nötig. Die Preissenkung von rund 13 % einzig aufgrund des Verfalls der Vergleichswährungen entspreche weder den Zielen noch dem Willen des Gesetzgebers, sei nicht angemessen und halte auch vor dem Willkürverbot des Art. 9 BV nicht stand.</w:t>
      </w:r>
    </w:p>
    <w:p>
      <w:r>
        <w:rPr>
          <w:b/>
        </w:rPr>
        <w:t>E. 6.3</w:t>
      </w:r>
    </w:p>
    <w:p>
      <w:r>
        <w:t>Art 65b Abs. 2 KVV sieht vor, dass die Wirtschaftlichkeit neben dem Vergleich mit anderen Arzneimitteln auch aufgrund der Preisgestaltung im Ausland beurteilt wird. Der Erlass näherer Vorschriften über das Wirtschaftlichkeitskriterium - und somit auch über den APV - sowie über das Verfahren der Überprüfung der Aufnahmebedingungen nach Art. 65d KVV wird in Art. 70a Bst. b und c KVV vom Bundesrat an das Departement delegiert. Dieses hat in Art. 35 KLV unter dem Titel «Preisvergleich mit dem Ausland» festgelegt, dass der Fabrikabgabepreis eines Arzneimittels in der Regel den durchschnittlichen Fabrikabgabepreis, abzüglich der Mehrwertsteuer, dieses Arzneimittels in Ländern mit wirtschaftlich vergleichbaren Strukturen im Pharmabereich nicht überschreiten darf. Das BAG vergleicht mit Ländern, in denen der Fabrikabgabepreis aufgrund von Bestimmungen von Behörden oder Verbänden eindeutig bestimmt werden kann (Abs. 1). Verglichen wird mit Deutschland, Dänemark, Grossbritannien, den Niederlanden, Frankreich und Österreich. Es kann mit weiteren Ländern verglichen werden (Abs. 2). Die Zulassungsinhaberin teilt dem BAG den FAP der Referenzländer nach Abs. 2 mit. Sie ermittelt ihn aufgrund von Regelungen von Behörden oder Verbänden und lässt ihn von einer Behörde oder einem Verband bestätigen. Der FAP wird gestützt auf einen vom BAG ermittelten durchschnittlichen Wechselkurs über zwölf Monate in Schweizerfranken umgerechnet (Abs. 3).</w:t>
      </w:r>
    </w:p>
    <w:p>
      <w:r>
        <w:rPr>
          <w:b/>
        </w:rPr>
        <w:t>E. 6.4.1</w:t>
      </w:r>
    </w:p>
    <w:p>
      <w:r>
        <w:t>Die Vorinstanz geht davon aus, dass rein wechselkursbedingte Preisreduktionen zulässig sind und ist der Ansicht, dass im Rahmen des APV keine Berücksichtigung des Preisniveauindexes vorzunehmen ist. Dieser Standpunkt kommt auch in Ziffer C.3.3.2 des SL-Handbuchs (Stand: 1. März 2013) zum Ausdruck, wonach für die Umrechnung der Fabrikabgabepreise in Schweizer Franken das Monatsmittel der Devisenkurse der Schweizerischen Nationalbank über 12 Monate massgebend ist und steht in Einklang mit Art. 35 Abs. 3 KLV, der vorsieht, dass der APV gestützt auf die in Schweizerfranken umgerechneten FAP der Vergleichsländer erfolgt. Diese Regelung hat zur Folge, dass auch rein wechselkursbedingte Preisreduktionen resultieren können. Die Vorinstanz weist zudem zu Recht darauf hin, dass die Abstützung auf den Auslandpreisvergleich mittels Wechsel­kursen seit Jahren gängige Praxis ist und es zudem in der Natur der Sache liegt, dass diese gewissen Schwankungen unterworfen sind.</w:t>
      </w:r>
    </w:p>
    <w:p>
      <w:r>
        <w:rPr>
          <w:b/>
        </w:rPr>
        <w:t>E. 6.4.2</w:t>
      </w:r>
    </w:p>
    <w:p>
      <w:r>
        <w:t>Es sind keine Gründe ersichtlich, Art. 35 Abs. 3 KLV über dessen Wortlaut hinaus dahingehend auszulegen, dass rein wechselkursbedingte Preisreduktionen unzulässig wären oder ein Preisniveauindex zu berücksichtigen wäre. Die von der Beschwerdeführerin aufgezeigte Entwicklung der Verordnungen und die entsprechenden Hinweise auf die Kommentare des BAG zeigen nicht auf, dass rein wechselkursbedingte Preisreduktionen dem Willen des Verordnungsgebers widersprechen oder dass dieser ein System unter Anwendung eines Preisniveauindexes angestrebt hätte. Sofern in den Kommentaren des BAG zu den Änderungen der KVV und KLV Bezug auf Wechselkursschwankungen genommen wird, geschieht dies jeweils im Zusammenhang mit der Toleranzmarge (vgl. BAG-Kommentar vom 29. Juni 2009 zu den Änderungen der KVV und der KLV per 1. Oktober 2009 und 1. Januar 2010, S. 7 f.), die für die ordentliche dreijährliche Überprüfung mit der Änderung der KLV vom 30. Juni 2010 im Rahmen der Revision von Art. 35b KLV eingeführt (AS 2010 3249) und später mit der Änderung der KVV und KLV vom 21. März 2012 auf den 1. Mai 2012 (AS 2012 1767) von 3 % auf 5 % erhöht wurde. Das BAG wies insbesondere im März 2012 darauf hin, dass bei der Anwendung des aktuellen Wechselkurses bei Arzneimitteln, die seit 2009 keinem Preisvergleich unterzogen worden seien, im Zuge der Preisüberprüfungen von 2012-2014 eine rein wechselkursbedingte Preissenkung von 23 Prozent resultieren würde, falls der Durchschnittspreis im Ausland unverändert geblieben sei. Um der ausserordentlichen Wechselkurssituation vom Sommer 2011 und den damit verbundenen langfristigen Wirkungen in einem angemessenen Masse Rechnung zu tragen, solle daher die Toleranzmarge bei der Überprüfung der Aufnahmebedingungen alle drei Jahre von 3 % auf 5 % erhöht werden. Weiter hielt das BAG fest, dass zur Glättung des Effekts kurzfristiger Wechselkursschwankungen der Wechselkurs neu bei allen Preisüberprüfungen über 12 Monate (anstatt 6 Monate) berechnet wird (BAG-Kommentar vom 9. März 2012 zu den Änderungen der KVV und der KLV per 1. Mai 2012, S. 3 f.; siehe auch Stellungnahmen des Bundesrats vom 4. Juli 2012 auf die Interpellation Nr. 12.3373 von Nationalrat Sebastian Frehner «Änderungen der Krankenpflege-Leistungsverordnung sowie der Krankenversicherungsverordnung per 1. Mai 2012»).</w:t>
      </w:r>
    </w:p>
    <w:p>
      <w:r>
        <w:rPr>
          <w:b/>
        </w:rPr>
        <w:t>E. 6.4.3</w:t>
      </w:r>
    </w:p>
    <w:p>
      <w:r>
        <w:t>Es ist damit keine Absicht des Verordnungsgebers erkennbar, rein wechselkursbedingte Preisreduktionen zu verhindern. Er hat der ausserordentlichen Wechselkurssituation aber immerhin dahingehend Rechnung getragen, indem der Wechselkurs aufgrund des Durchschnitts von zwölf Monaten bestimmt und eine Toleranzmarge gewährt wird. Die von der Beschwerdeführerin beantragte Anwendung eines Preisniveauindexes zur Abfederung von Wechselkursschwankungen hat der Verordnungsgeber nicht vorgesehen. Der Bundesrat hat es in Kenntnis der Problematik ausdrücklich abgelehnt, eine weitergehende Sonderlösung bezüglich der Wechselkurssituation für einzelne Branchen zu treffen, und sah vor diesem Hintergrund keinen weiteren Handlungsspielraum, die geltenden Regelungen für die Überprüfungen der Jahre 2012 bis 2014 erneut anzupassen (Stellungnahme des Bundesrats vom 1. Juni 2012 zur Motion Nr. 12.3342 der Kommission des Nationalrats für soziale Sicherheit und Gesundheit «Neufestsetzung der Medikamentenpreise» vom 26. April 2012). Es liegen somit keine Hinweise dafür vor, dass rein wechselkursbedingte Preisreduktionen dem Willen des Verordnungsgebers widersprechen.</w:t>
      </w:r>
    </w:p>
    <w:p>
      <w:r>
        <w:rPr>
          <w:b/>
        </w:rPr>
        <w:t>E. 6.4.4</w:t>
      </w:r>
    </w:p>
    <w:p>
      <w:r>
        <w:t>Die Ansicht der Beschwerdeführerin, wonach der Wechselkurs nur dann zum Tragen komme, wenn sich im Vergleichsland die Preise geändert hätten, findet weder in Art. 65b Abs. 2 KVV, der die Beurteilung der Wirtschaftlichkeit aufgrund der «Preisgestaltung» im Ausland vorsieht, noch in Art. 35 KLV eine Grundlage. Schliesslich ist auch kein Verstoss gegen übergeordnete Gesetzesbestimmungen erkennbar, zumal das KVG zur Art und Weise der Durchführung der Wirtschaftlichkeitsprüfung keine Vorgaben enthält. Die Festlegung der Modalitäten des APV ist im Rahmen seiner Vollzugskompetenzen somit dem Verordnungsgeber überlassen, soweit diese dem Ziel des Gesetzgebers entsprechen, nur Leistungen zu vergüten, die den Anforderungen von Art. 32 Abs. 1 KVG genügen. Inwiefern das Vorgehen der Vorinstanz diesem Ziel widersprechen soll, ist nicht ersichtlich. Folglich ist weder von einer Verletzung des Legalitätsprinzips noch des Willkürverbots auszugehen. Ob auch die von der Beschwerdeführerin beantragte Anwendung eines Preisniveauindexes zur Abfederung von Wechselkursschwankungen sachgerecht wäre, muss vom Gericht nicht beurteilt werden. Auf die Ausführungen der Beschwerdeführerin im Zusammenhang mit Preisniveau, Kaufkraft und Kaufkraftparität ist hier daher nicht einzugehen.</w:t>
      </w:r>
    </w:p>
    <w:p>
      <w:r>
        <w:rPr>
          <w:b/>
        </w:rPr>
        <w:t>E. 6.4.5</w:t>
      </w:r>
    </w:p>
    <w:p>
      <w:r>
        <w:t>Was die Höhe der gewährten Toleranzmarge von 5 % anbelangt, so steht das Vorgehen der Vorinstanz ebenfalls in Einklang mit den massgebenden Bestimmungen. Gemäss der vom 1. Mai 2012 bis 31. Dezember 2014 gültigen Übergangsbestimmung zu Art. 35b (vgl. AS 2012 1769) kann die Zulassungsinhaberin bei der Überprüfung der Aufnahmebedingungen nach Art. 35b KLV beantragen, dass eine Toleranzmarge zum durchschnittlichen Fabrikabgabepreis der Referenzländer nach Art. 35 Abs. 2 KLV hinzugerechnet wird (Abs. 1). Die Toleranzmarge beträgt 5 %. Liegt der bei der Überprüfung massgebende Wechselkurs des Schweizerfrankens pro Euro über dem durchschnittlichen Wechselkurs, der für den Zeitraum vom 1. Februar 2011 bis zum 31. Januar 2012 ermittelt wurde, so sinkt die Toleranzmarge von 5 % um einen Prozentpunkt pro 1,3 Rappen. Die Toleranzmarge sinkt jedoch nicht unter 3 % (Abs. 2). Die Toleranzmarge muss bis zum 31. Mai des Überprüfungsjahres beantragt werden. Das BAG senkt den Fabrikabgabepreis eines Originalpräparates mit Wirkung per 1. November des Überprüfungsjahres (Abs. 3). Wie bereits aufgezeigt wurde, entspricht es dem Willen des Verordnungsgebers, mit der Toleranzmarge nicht die Auswirkungen von Wechselkursschwankungen vollständig zu eliminieren, sondern im Umfang von höchstens 5 % abzufedern (siehe oben E. 6.4.2). Es besteht damit kein Raum für eine Erhöhung der Toleranzmarge.</w:t>
      </w:r>
    </w:p>
    <w:p>
      <w:r>
        <w:rPr>
          <w:b/>
        </w:rPr>
        <w:t>E. 7</w:t>
      </w:r>
    </w:p>
    <w:p>
      <w:r>
        <w:t>Eine abschliessende Prüfung der geltend gemachten Verletzung der Wirtschaftsfreiheit aufgrund einer rein wechselkursbedingten Preisreduktion erübrigt sich, da die angefochtene Verfügung ohnehin aufzuheben ist, und die Vorinstanz die Preise von B._______ auch unter Berücksichtigung des TQV neu festzusetzen haben wird.</w:t>
      </w:r>
    </w:p>
    <w:p>
      <w:r>
        <w:rPr>
          <w:b/>
        </w:rPr>
        <w:t>E. 7.1</w:t>
      </w:r>
    </w:p>
    <w:p>
      <w:r>
        <w:t>Soweit die Ausführungen der Beschwerdeführerin aber darauf abzielen, aus der Wirtschaftsfreiheit einen Anspruch abzuleiten, gegenüber der obligatorischen Krankenpflegeversicherung für eine längere Zeit einen höheren Preis abrechnen zu können, ist festzuhalten, dass die Wirtschaftsfreiheit im Bereich der Preisbestimmung im Rahmen der obligatorischen Krankenpflegeversicherung weitgehend nicht gilt. Preisvorschriften in Bereichen, in denen von vornherein kein privatwirtschaftlicher Wettbewerb herrscht, wie bei der Festlegung von Tarifen für Leistungen, die durch die staatlich finanzierte Sozialversicherung bezahlt werden, sind zulässig. Die Wirtschaftsfreiheit darf nicht so verstanden werden, dass sie ein Recht darauf gäbe, zu Lasten der staatlich mitfinanzierten Sozialversicherung Einkommen zu generieren. Die Beschwerdeführerin kann hier unter dem Aspekt der Wirtschaftsfreiheit daher höchstens ein Recht auf Gleichbehandlung mit den direkten Konkurrenten geltend machen (vgl. BGE 138 II 398 E. 3.9.2). Dabei ist aber den Besonderheiten Rechnung zu tragen, die sich daraus ergeben, dass die betreffende wirtschaftliche Tätigkeit faktisch über ein System erfolgt, das seinerseits der Wirtschaftsfreiheit (weitgehend) entzogen ist (vgl. C-5912/2013 E. 10.4.3 mit Hinweisen).</w:t>
      </w:r>
    </w:p>
    <w:p>
      <w:r>
        <w:rPr>
          <w:b/>
        </w:rPr>
        <w:t>E. 7.2</w:t>
      </w:r>
    </w:p>
    <w:p>
      <w:r>
        <w:t>Es ist unvermeidlich, dass der Anspruch auf Gleichbehandlung der Gewerbegenossen im Bereich der Modalitäten der Preisfestsetzung von Arzneimitteln in der Spezialitätenliste stark relativiert wird (vgl. Urteile des BVGer C-3590/2012 vom 1. September 2015 E. 10.3 und C-5818/2012 vom 1. September 2015 E. 11.3). Im Arzneimittelmarkt der obligatorischen Krankenversicherung mit einem stark reglementierten Preismechanismus und staatlich festgelegten Preisen kann über den allgemeinen Gleichbehandlungsgrundsatz nach Art. 8 Abs. 1 BV hinausgehend gestützt auf den Grundsatz der Gleichbehandlung der Gewerbegenossen kein höherer staatlich fixierter Preis gefordert werden (vgl. Urteil des BVGer C-5818/2012 vom 1. September 2015 E. 11.5). Wie aber die Beschwerdeführerin selbst festhält, ist hier keine Ungleichbehandlung ersichtlich, da alle Zulassungsinhaberinnen bei der dreijährlichen Überprüfung gleich behandelt werden.</w:t>
      </w:r>
    </w:p>
    <w:p>
      <w:r>
        <w:rPr>
          <w:b/>
        </w:rPr>
        <w:t>E. 8</w:t>
      </w:r>
    </w:p>
    <w:p>
      <w:r>
        <w:t>Aus dem Dargelegten folgt, dass der entscheidwesentliche Sachverhalt bezüglich der Durchführung eines TQV nicht abgeklärt wurde, weshalb die Streitsache nicht abschliessend materiell beurteilt werden kann. Die Beschwerde ist daher dahingehend gutzuheissen, dass die angefochtene Verfügung vom 19. September 2014 aufzuheben und die Sache an die Vorinstanz zur Vornahme einer neuen, umfassenden Wirtschaftlichkeitsprüfung zurückzuweisen ist (Art. 61 Abs. 1 VwVG). Die Einwendungen der Beschwerdeführerin gegen den von der Vorinstanz durchgeführten APV erweisen sich indes als unbegründet, weshalb die Beschwerde im Übrigen abzuweisen, soweit darauf einzutreten ist.</w:t>
      </w:r>
    </w:p>
    <w:p>
      <w:r>
        <w:rPr>
          <w:b/>
        </w:rPr>
        <w:t>E. 9.1</w:t>
      </w:r>
    </w:p>
    <w:p>
      <w:r>
        <w:t>Das Bundesverwaltungsgericht auferlegt gemäss Art. 63 Abs. 1 und Abs. 3 VwVG die Verfahrenskosten in der Regel der unterliegenden Partei. Die Rückweisung gilt als Obsiegen der beschwerdeführenden Partei (vgl. Urteil des BVGer C-2351/2013 vom 17. März 2016 mit Hinweis auf BGE 137 V 57 E. 2.1), weshalb der Beschwerdeführerin im vorliegenden Fall keine Verfahrenskosten aufzuerlegen sind. Der geleistete Kostenvorschuss von Fr. 4'000.- ist ihr nach Eintritt der Rechtskraft des vorliegenden Urteils auf ein von ihr zu bezeichnendes Konto zurückzuerstatten. Der Vorinstanz sind keine Verfahrenskosten aufzuerlegen (vgl. Art. 63 Abs. 2 VwVG).</w:t>
      </w:r>
    </w:p>
    <w:p>
      <w:r>
        <w:rPr>
          <w:b/>
        </w:rPr>
        <w:t>E. 9.2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der zu prüfenden Rügen, des gebotenen und aktenkundigen Aufwands, der Bedeutung der Streitsache und der Schwierigkeit der vorliegend zu beurteilenden Fragen, ist der Beschwerdeführerin zu Lasten der Vorinstanz eine als angemessen zu erachtende Parteientschädigung von Fr. 4'000.- (inkl. Auslagen und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