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C-6064/2013 vom 15. Juni 2015</w:t>
      </w:r>
    </w:p>
    <w:p>
      <w:r>
        <w:t>Bundesverwaltungsgericht, 2015-06-15, FR</w:t>
      </w:r>
    </w:p>
    <w:p>
      <w:r>
        <w:rPr>
          <w:b/>
        </w:rPr>
        <w:t xml:space="preserve">Quelle: </w:t>
      </w:r>
      <w:r>
        <w:t>https://mcp.opencaselaw.ch/entscheid/bvger_C-6064_2013</w:t>
      </w:r>
    </w:p>
    <w:p>
      <w:r>
        <w:t>FR: TAF C-6064/2013 du 15 juin 2015</w:t>
      </w:r>
    </w:p>
    <w:p>
      <w:r>
        <w:t>IT: TAF C-6064/2013 del 15 giugno 2015</w:t>
      </w:r>
    </w:p>
    <w:p>
      <w:pPr>
        <w:pStyle w:val="Heading2"/>
      </w:pPr>
      <w:r>
        <w:t>Regeste</w:t>
      </w:r>
    </w:p>
    <w:p>
      <w:r>
        <w:t>Droit à la rente</w:t>
      </w:r>
    </w:p>
    <w:p>
      <w:pPr>
        <w:pStyle w:val="Heading2"/>
      </w:pPr>
      <w:r>
        <w:t>Erwägungen</w:t>
      </w:r>
    </w:p>
    <w:p>
      <w:r>
        <w:rPr>
          <w:b/>
        </w:rPr>
        <w:t>E. 1.1</w:t>
      </w:r>
    </w:p>
    <w:p>
      <w:r>
        <w:t>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1.3</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Dans le cas concret, les dispositions dans leur teneur au 1er janvier 2013 sont applicables.</w:t>
      </w:r>
    </w:p>
    <w:p>
      <w:r>
        <w:rPr>
          <w:b/>
        </w:rPr>
        <w:t>E. 4</w:t>
      </w:r>
    </w:p>
    <w:p>
      <w:r>
        <w:t>L'assuré ayant travaillé en Suisse en dernier lieu en tant que frontalier dans le Canton de Bâle-Campagne, conformément à l'art. 40 al. 2 RAI, l'OAI-BL est donc compétent pour enregistrer et examiner les demandes de prestations, tandis que les décisions doivent être notifiées par l'OAIE. En l'occurrence, la décision du 23 septembre 2013 aurait dû être notifiée par l'OAIE et non par l'OAI-BL. La décision précitée est donc entachée d'un vice de notification. Cependant, comme le fait valoir à juste titre l'autorité inférieure dans sa réponse au recours du 16 avril 2014 (TAF pce 12), le vice a été réparé postérieurement par la notification par l'OAIE de la même décision le 6 novembre 2013 (AI pce 101). La décision du 23 septembre 2013 peut être considérée comme un projet de décision. Conformément au principe de la confiance, on ne saurait reprocher au recourant de ne pas avoir recouru contre la décision de l'OAIE du 6 novembre 2013. Il convient donc de considérer que le recours contre la décision du 23 septembre 2013 est également dirigé contre la décision du 6 novembre 2013.</w:t>
      </w:r>
    </w:p>
    <w:p>
      <w:r>
        <w:rPr>
          <w:b/>
        </w:rPr>
        <w:t>E. 5.1</w:t>
      </w:r>
    </w:p>
    <w:p>
      <w:r>
        <w:t>La décision attaquée du 6 novembre 2013 fait suite à une première demande de rente ayant été rejetée par décision du 18 août 2006 de l'OAIE pour un taux d'invalidité de 32%, confirmée par le Tribunal de céans par arrêt du 6 juin 2008 (procédure C-2919/2006.</w:t>
      </w:r>
    </w:p>
    <w:p>
      <w:r>
        <w:rPr>
          <w:b/>
        </w:rPr>
        <w:t>E. 5.2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5.3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5.4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5.5</w:t>
      </w:r>
    </w:p>
    <w:p>
      <w:r>
        <w:t>Il y a dès lors lieu d'examiner la question de savoir si c'est à juste titre que l'administration a rendu une décision de refus d'entrer en matière.</w:t>
      </w:r>
    </w:p>
    <w:p>
      <w:r>
        <w:rPr>
          <w:b/>
        </w:rPr>
        <w:t>E. 6.1</w:t>
      </w:r>
    </w:p>
    <w:p>
      <w:r>
        <w:t>En l'espèce, il y a lieu de constater que, entre la décision du 18 août 2006 et celle du 6 novembre 2013, 7 ans se sont écoulés.</w:t>
      </w:r>
    </w:p>
    <w:p>
      <w:r>
        <w:rPr>
          <w:b/>
        </w:rPr>
        <w:t>E. 6.2</w:t>
      </w:r>
    </w:p>
    <w:p>
      <w:r>
        <w:t>Dans son arrêt du 6 juin 2008 le Tribunal de céans a relevé le caractère complet de l'expertise B._______ du 11 mai 2006 comprenant les volets orthopédique, psychiatrique et cardiologique topiques des atteintes à la santé de l'assuré et dont les affects cardiologiques, concomitants à l'accident survenu, fondaient principalement les limitations de la capacité de travail à des activités légères à moyennement lourdes. Une pleine capacité de travail avait alors été confirmée dans des activités adaptées légères du secteur privé de type simples et répétitives avec la prise en compte d'un abattement de 15% sur le revenu moyen tenant compte des limitations personnelles de l'assuré. Cette appréciation de l'invalidité fonctionnelle de l'assuré avait donné lieu à une invalidité économique de 32% quelque peu supérieure à celle retenue par l'assureur-accident mais insuffisante pour fonder un droit à une rente d'invalidité.</w:t>
      </w:r>
    </w:p>
    <w:p>
      <w:r>
        <w:rPr>
          <w:b/>
        </w:rPr>
        <w:t>E. 6.3</w:t>
      </w:r>
    </w:p>
    <w:p>
      <w:r>
        <w:t>Dans sa quatrième demande du 21 mai 2013 (AI pce 93), l'assuré n'a absolument pas mentionné en quoi consistait l'aggravation d'état de santé qu'il faisait valoir. Il a mentionné qu'il transmettrait ultérieurement des certificats médicaux attestant de sa rechute, mais n'a produit aucun document dans le délai imparti jusqu'au 30 juin 2013 par l'OAI-BL (AI pce 94).</w:t>
      </w:r>
    </w:p>
    <w:p>
      <w:r>
        <w:rPr>
          <w:b/>
        </w:rPr>
        <w:t>E. 6.4</w:t>
      </w:r>
    </w:p>
    <w:p>
      <w:r>
        <w:t>Dès lors, la non-entrée en matière de l'OAIE dans la nouvelle demande de prestations peut être confirmée en ce sens que l'assuré n'a pas rendu plausible une aggravation de son état de santé par rapport à la décision de l'OAIE du 18 juin 2006. Les rapports produits au cours de la présente procédure sont tous datés ultérieurement à la décision attaquée du 6 novembre 2013 et relatent, entre autres, d'un accident vasculaire cérébral ischémique du 4 septembre 2014. Cet événement étant intervenu bien après la décision attaquée, il ne peut pas être l'objet de la présente procédure. Manifestement mal fondé le recours doit être rejeté dans une procédure à juge unique (art. 23 al. 1 let. B LTAF).</w:t>
      </w:r>
    </w:p>
    <w:p>
      <w:r>
        <w:rPr>
          <w:b/>
        </w:rPr>
        <w:t>E. 7.1</w:t>
      </w:r>
    </w:p>
    <w:p>
      <w:r>
        <w:t>Les frais de procédure, fixés à CHF 400.-, sont mis à la charge du recourant (art. 63 al. 1 PA, applicable par le truchement de l'art. 37 LTAF).</w:t>
      </w:r>
    </w:p>
    <w:p>
      <w:r>
        <w:rPr>
          <w:b/>
        </w:rPr>
        <w:t>E. 8</w:t>
      </w:r>
    </w:p>
    <w:p>
      <w:r>
        <w:t>Vu l'issue du litige, 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