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C-6062/2012 vom 7. Januar 2014</w:t>
      </w:r>
    </w:p>
    <w:p>
      <w:r>
        <w:t>Bundesverwaltungsgericht, 2014-01-07, DE</w:t>
      </w:r>
    </w:p>
    <w:p>
      <w:r>
        <w:rPr>
          <w:b/>
        </w:rPr>
        <w:t xml:space="preserve">Quelle: </w:t>
      </w:r>
      <w:r>
        <w:t>https://mcp.opencaselaw.ch/entscheid/bvger_C-6062_2012</w:t>
      </w:r>
    </w:p>
    <w:p>
      <w:r>
        <w:t>FR: TAF C-6062/2012 du 7 janvier 2014</w:t>
      </w:r>
    </w:p>
    <w:p>
      <w:r>
        <w:t>IT: TAF C-6062/2012 del 7 gennaio 2014</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act. 71). Als Adressatin der angefochtenen Verfügung vom 16. Oktober 2012 (act. 68) ist die Beschwerdeführerin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16. Oktober 2012, mit welcher der Anspruch auf eine IV-Rente abgewiesen worden ist. Streitig und zu prüfen ist die Rechtmässigkeit dieser Verfügung und in diesem Zusammenhang, ob die Vorinstanz den Sachverhalt insbesondere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Beschwerdeführerin besitzt die österreichische Staatsbürgerschaft und wohnt in Österreich,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(16. Oktober 2012)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16. Oktober 2012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(16. Oktober 2012) können auch die Normen des vom Bundesrat auf den 1. Januar 2012 in Kraft gesetzten ersten Teils der 6. IV-Revision (IV-Revision 6a) Anwendung finden.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Die Annahme eines psychischen Gesundheitsschadens, so auch einer anhaltenden somatoformen Schmerzstörung, setzt zunächst eine fachärztlich (psychiatrisch) gestellte Diagnose nach einem wissenschaftlich anerkannten Klassifikationssystem voraus (BGE 136 V 279 E. 3.2.1).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136 V 279 E. 3.2.1, 131 V 49 E. 1.2, 130 V 352 E. 2.2.3). Diese für alle Versicherten in gleicher Weise geltende Gerichtspraxis ist weder menschenrechtswidrig noch diskriminierend (SVR 2008 IV Nr. 62 S. 204 E. 4.2) noch basiert sie - mit Blick auf die rechtliche Natur des Kriterienkataloges - auf medizinwissenschaftlich unhaltbaren Annahmen (Entscheid des BGer vom 20. Dezember 2011, 9C_776/2010, E. 2.3 bis 2.5).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dieser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EVG stellt diese Regelung nicht eine blosse Auszah­lungsvorschrift, sondern eine be­sondere Anspruchsvoraussetzung dar (BGE 121 V 275 E. 6c).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Im Rahmen des Erlasses der angefochtenen Verfügung vom 16. Oktober 2012 stützte sich die Vorinstanz in medizinischer Hinsicht insbesondere auf die Beurteilungen des RAD-Arztes Dr. med. B._______ vom 7. Februar und 13. September 2012 (act. 50 und 67). Die entsprechenden Berichte sowie weitere medizinische Dokumente sind nachfolgend zusammengefasst wiederzugeben und einer Würdigung zu unterziehen.</w:t>
      </w:r>
    </w:p>
    <w:p>
      <w:r>
        <w:rPr>
          <w:b/>
        </w:rPr>
        <w:t>E. 3.1.1</w:t>
      </w:r>
    </w:p>
    <w:p>
      <w:r>
        <w:t>Dr. med. C._______, Facharzt für Psychiatrie, verwendete in seinem Gutachten vom 13. November 2011 die Diagnosecodes ICD-10: F33.0 (rezidivierende depressive Störung, gegenwärtig leichte Episode) und ICD-10: F45.41 (Chronische Schmerzstörung mit somatischen und psychischen Faktoren). Gleichzeitig erwähnte er eine somatoforme Schmerzstörung bei bekannten degenerativen Veränderungen der Wirbelsäule und des Iliosakralgelenks (ISG). Weiter führte er aus, die cerebrale Belastbarkeit erscheine zu gering, um gegenwärtig am "1. Arbeitsmarkt" eine Arbeitsleistung von über 50 % zu erbringen, die ein gleichaltriger Gesunder in der Lage wäre zu erbringen. Die Beurteilung der Arbeitsfähigkeit in der "angestammten bzw. angepassten Form" wäre einem "Berufskundler" zu überlassen (act. 48).</w:t>
      </w:r>
    </w:p>
    <w:p>
      <w:r>
        <w:rPr>
          <w:b/>
        </w:rPr>
        <w:t>E. 3.1.2</w:t>
      </w:r>
    </w:p>
    <w:p>
      <w:r>
        <w:t>Der RAD-Arzt Dr. med. B._______, Facharzt für Allgemeine Medizin, hielt in seiner Stellungnahme vom 7. Februar 2012 dafür, die Versicherte sei in der angestammten Tätigkeit seit dem 1. Januar 2004 zu 50 % arbeitsunfähig und in einer leidensadaptierten zu 100 % erwerbsfähig. Weiter führte er aus, das Gutachten habe etwas Licht in die Sache gebracht. Gemäss dem psychischen Zustand sei eine Aktivität in der angestammten Tätigkeit im freien Arbeitsmarkt zu maximal 50 % möglich. Eine streng überwachte Arbeit unter Einhaltung der erwähnten Einschränkungen wäre vollschichtig möglich; dies würde aber quasi einem geschützten Arbeitsplatz entsprechen. Eine Einschränkung im Einpersonenhaushalt bestehe nicht. Die Prognose sei schlecht, der Zustand werde sich kaum verbessern (act. 50).</w:t>
      </w:r>
    </w:p>
    <w:p>
      <w:r>
        <w:rPr>
          <w:b/>
        </w:rPr>
        <w:t>E. 3.1.3</w:t>
      </w:r>
    </w:p>
    <w:p>
      <w:r>
        <w:t>Dr. med. D._______, Facharzt für Psychiatrie und Neurologie, erwähnte in seiner Expertise vom 13. Dezember 2011 zuhanden des Bezirksgerichts E._______ (Österreich), es bestehe eine anhaltende somatoforme Schmerzstörung in Verbindung mit einer depressiven, gelegentlich auch dysphorischen Stimmungslage. Die Versicherte sei derzeit und bis auf weiteres nicht in der Lage, komplexere Angelegenheiten selbstständig zu regeln. Weiter finde sich eine rezidivierende depressive Störung; im Untersuchungszeitpunkt habe eine mittelgradige depressive Episode vorgelegen. Zugrunde liege auch eine ängstlich-selbstunsichere Persönlichkeitsstörung, was dazu führe, dass die Versicherte grundsätzlich schon etwas komplexere Entscheidungen nicht alleine treffen könne. Sie wirke auch in der Untersuchungssituation aufgeregt und sei rasch irritierbar, affektlabil und im Gespräch schnell noch weiter zu verunsichern. Es liege somit aus forensisch-psychiatrischer Sicht ein affektiv begründbares psychosewertiges Zustandsbild vor (act. 64).</w:t>
      </w:r>
    </w:p>
    <w:p>
      <w:r>
        <w:rPr>
          <w:b/>
        </w:rPr>
        <w:t>E. 3.1.4</w:t>
      </w:r>
    </w:p>
    <w:p>
      <w:r>
        <w:t>Nach Würdigung des Gutachtens von Dr. med. D._______ war Dr. med. B._______ am 13. September 2012 der Ansicht, dass die Begutachtung durch Dr. med. D._______ zur Abklärung der Einsetzung eines Sachwalters und nicht explizit zur Frage nach der Arbeitsfähigkeit gemacht worden sei. Die Diagnosen und erhobenen Befunde seien dieselben; über die Arbeitsfähigkeit lasse sich Dr. med. D._______ nicht aus. In diesem Sinne lägen keine neuen Aspekte vor, die zu einer Änderung der Stellungnahme des RAD vom 7. Februar 2012 führten (act. 67).</w:t>
      </w:r>
    </w:p>
    <w:p>
      <w:r>
        <w:rPr>
          <w:b/>
        </w:rPr>
        <w:t>E. 3.2.1</w:t>
      </w:r>
    </w:p>
    <w:p>
      <w:r>
        <w:t>Mit Blick auf das bei der Beschwerdeführerin vorhandene Krankheitsbild beurteilt sich die Frage, inwieweit eine Arbeitsunfähigkeit aus medizinisch-psychiatrischer Sicht als invalidisierend im Rechtssinne (vgl. Art. 4 Abs. 1 IVG sowie Art. 3 Abs. 1 und Art. 6 ATSG) anzuerkennen ist, nach der vom Bundesgericht mit BGE 130 V 352 begründeten Rechtsprechung zur somatoformen Schmerzstörung (vgl. BGE 137 V 64 E. 4.1, 136 V 279 E. 3.2.3 und SVR 2012 IV Nr. 1 S. 1, 9C_1040/2010 E. 3.4.1; vgl. E. 2.4 hiervor).</w:t>
      </w:r>
    </w:p>
    <w:p>
      <w:r>
        <w:rPr>
          <w:b/>
        </w:rPr>
        <w:t>E. 3.2.2</w:t>
      </w:r>
    </w:p>
    <w:p>
      <w:r>
        <w:t>Bei den Stellungnahmen von Dr. med. B._______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3.2.3</w:t>
      </w:r>
    </w:p>
    <w:p>
      <w:r>
        <w:t>Die Voraussetzungen, dass auf die Beurteilungen von Dr. med. B._______ trotz fehlender fachärztlicher Ausbildung insbesondere in den medizinischen Disziplinen Psychiatrie, Psychotherapie und Neurologie abgestellt werden könnte (vgl. hierzu bspw. Urteil des Bundesverwaltungsgerichts C-2862/2010 vom 7. Mai 2012 E. 3.2.2 mit Hinweis), sind vorliegend nicht erfüllt. Die Stellungnahmen von Dr. med. B._______ vermögen demnach die an den Beweiswert eines Arztberichts gestellten Anforderungen nicht zu erfüllen und es kann - auch mit Blick auf die übrigen, vorstehend zusammengefasst wiedergegebenen ärztlichen Dokumente - auf den Beizug weiterer entsprechend ausgebildeter Fachärzte und/oder Fachärztinnen nicht verzichtet werden. Dies aus folgenden Gründen:</w:t>
      </w:r>
    </w:p>
    <w:p>
      <w:r>
        <w:rPr>
          <w:b/>
        </w:rPr>
        <w:t>E. 3.2.3.1</w:t>
      </w:r>
    </w:p>
    <w:p>
      <w:r>
        <w:t>Die nach Würdigung des Gutachtens von Dr. med. C._______ abgegebene Beurteilung von Dr. med. B._______, wonach die Versicherte in der angestammten Tätigkeit seit dem 1. Januar 2004 zu 50 % arbeitsunfähig und in einer leidensadaptierten zu 100 % erwerbsfähig sei, lässt sich nicht rechtsgenüglich nachvollziehen. Einerseits war Dr. med. C._______ der Auffassung, dass die Beurteilung der Arbeitsfähigkeit in der angestammten bzw. in einer leidensangepassten Tätigkeit einem "Berufskundler" zu überlassen sei. Diese Auffassung liefert mit überwiegender Wahrscheinlichkeit die Erklärung dafür, dass er die im Rahmen des Leistungskalküls aufgelisteten Anforderungen durchgestrichen hatte (act. 48 S. 7). Unter diesen Umständen kann folglich nicht mit überwiegender Wahrscheinlichkeit (zum Regelbeweismass BGE 126 V 353 E. 5b) davon ausgegangen werden, dass mit dem Hinweis "vollschichtig" die Möglichkeit zur Ausübung einer leidensadaptierten Tätigkeit mit einer 100%igen Erwerbs- resp. Leistungsfähigkeit gemeint war.</w:t>
      </w:r>
    </w:p>
    <w:p>
      <w:r>
        <w:rPr>
          <w:b/>
        </w:rPr>
        <w:t>E. 3.2.3.2</w:t>
      </w:r>
    </w:p>
    <w:p>
      <w:r>
        <w:t>Mit Blick auf das Gutachten von Dr. med. C._______ vom 13. November 2011 und die Stellungnahme von Dr. med. B._______ vom 7. Februar 2012 ergeben sich weitere ungeklärte Widersprüche. Dr. med. B._______ lässt eine nachvollziehbare und schlüssige Begründung dafür vermissen, weshalb die Versicherte in ihrem angestammten Beruf auf dem freien Arbeitsmarkt eine 50 %ige Arbeitsfähigkeit aufweisen soll, wenn sie doch eine leidensadaptierte Tätigkeit nur an einem geschützten Arbeitsplatz - und somit nicht in der freien Wirtschaft - ausüben kann. Keinesfalls kann unter diesen Umständen der Schluss gezogen werden, die Versicherte weise auf dem freien Arbeitsmarkt in einer den Leiden angepassten Arbeit eine vollständige Erwerbs- resp. Leistungsfähigkeit auf.</w:t>
      </w:r>
    </w:p>
    <w:p>
      <w:r>
        <w:rPr>
          <w:b/>
        </w:rPr>
        <w:t>E. 3.2.3.3</w:t>
      </w:r>
    </w:p>
    <w:p>
      <w:r>
        <w:t>Obwohl das Gutachten von Dr. med. D._______ vom 13. Dezember 2011 - welches im Hinblick auf die Bestellung eines Sachwalters nach österreichischem Recht erstellt wurde - keine (explizite) Beurteilung der Arbeits- und Leistungsfähigkeit der Versicherten enthält, liefert dieses dennoch Hinweise darauf, dass die Arbeits- resp. Erwerbsfähigkeit der Versicherten sowohl in ihrer angestammten als auch in einer leidensadaptierten Tätigkeit in bedeutendem, rentenrelevantem Ausmass eingeschränkt sein könnte. So soll es der Versicherten bspw. nicht mehr möglich sein, komplexere Angelegenheiten alleine selbstständig zu regeln. Unter diesem Aspekt resp. mit Blick auf das vorstehend Dargelegte (E. 3.2.3.1 und 3.2.3.2) kann auch dem Bericht von Dr. med. B._______ vom 13. September 2012 mangels Schlüssigkeit keine volle Beweiskraft zukommen.</w:t>
      </w:r>
    </w:p>
    <w:p>
      <w:r>
        <w:rPr>
          <w:b/>
        </w:rPr>
        <w:t>E. 3.3.1</w:t>
      </w:r>
    </w:p>
    <w:p>
      <w:r>
        <w:t>Zusammengefasst ist festzuhalten, dass sich der gesundheitliche Zustand der Beschwerdeführerin und dessen Auswirkungen auf die Arbeits- und Leistungsfähigkeit im massgeblichen Verfügungszeitpunkt vom 16. Oktober 2012 nicht schlüssig und zuverlässig beurteilen lässt (vgl. BGE 125 V 353 E. 3b/bb; vgl. zum Ganzen auch E. 2.4 hiervor). Es kann deshalb nicht auf die Abnahme weiterer Beweise verzichtet werden (zum gegenteiligen Fall resp. zur antizipierten Beweiswürdigung vgl. BGE 136 I 229 E. 5.3; vgl. auch BGE 122 V 157 E. 1d; SVR 2005 IV Nr. 8 S. 37 E. 6.2, 2003 AHV Nr. 4 S. 11 E. 4.2.1), da von einer zusätzlichen, medizinisch nachvollziehbar und schlüssig begründeten Beurteilung neue verwertbare und entscheidrelevanten Erkenntnisse zu erwarten sind (vgl. zum Ganzen Urteil des BGer 8C_189/2008 vom 4. Juli 2008 E. 5 mit Hinweisen).</w:t>
      </w:r>
    </w:p>
    <w:p>
      <w:r>
        <w:rPr>
          <w:b/>
        </w:rPr>
        <w:t>E. 3.3.2</w:t>
      </w:r>
    </w:p>
    <w:p>
      <w:r>
        <w:t>Mit Blick auf die Berichte der Dres. med. C._______, B._______ und D._______ wirken bei der Beschwerdeführerin somatische und psychisch-psychiatrische gesundheitliche Beeinträchtigungen zusammen, weshalb sich eine isolierte Betrachtung der somatischen und psychischen Befunde nicht rechtfertigen lässt. Mit anderen Worten ist aufgrund dieser Sachlage ein interdisziplinäres medizinisches Gutachten einzuholen (vgl. hierzu Urteil 8C_168/2008 des BGer vom 11. August 2008 E. 6.2.2. mit Hinweisen). Da Stellungnahmen von Fachärzten und/oder Fachärztinnen zum psychischen Gesundheitszustand und zu dem aus medizinischer Sicht (objektiv) vorhandenen Leistungspotenzial eine unabdingbare Grundlage für die Beurteilung der Rechtsfrage bilden, ob und gegebenenfalls inwieweit einer versicherten Person unter Aufbringung allen guten Willens die Überwindung ihrer Schmerzen und die Verwertung ihrer verbleibenden Arbeitskraft zumutbar ist oder nicht (BGE 130 V 352 E. 2.2.5), hat sich die Fachärztin oder der Facharzt für Psychiatrie und Psychotherapie im Rahmen der psychiatrischen Begutachtung einlässlich zu den "Förster-Kriterien" zu äussern. Dabei sind insbesondere auch die Fragen nach der psychischen Komorbidität und - im Rahmen der Einschätzung der psychischen Ressourcen - nach dem Umgang mit den Schmerzen durch die Beschwerdeführerin zu beantworten. Damit kann letztlich eine einheitliche und rechtsgleiche Einschätzung der Arbeitsfähigkeit gewährleistet werden (vgl. hierzu BGE 135 V 201 E. 7.1.3; 130 V 352 E. 2.2.4; vgl. auch Ulrich Meyer, Die Rechtsprechung zur Arbeitsunfähigkeitsschätzung bei somatoformen Schmerzstörungen, in: Medizin und Sozialversicherung im Gespräch, 2006, S. 221).</w:t>
      </w:r>
    </w:p>
    <w:p>
      <w:r>
        <w:rPr>
          <w:b/>
        </w:rPr>
        <w:t>E. 3.4</w:t>
      </w:r>
    </w:p>
    <w:p>
      <w:r>
        <w:t>Abschliessend ist festzuhalten, dass sich die von der Vorinstanz vorgenommene Bemessung der Invalidität nicht eindeutig und rechtsgenüglich nachvollziehen lässt. Mit Blick auf den Verfügungstext ergibt sich, dass die gemischte Methode zur Anwendung gelangt war. Unklarheiten ergeben sich jedoch hinsichtlich der prozentualen Aufteilung der Bereiche ausserhäusliche Erwerbstätigkeit und Haushalt und generell der Frage, ob die Invalidität der Versicherten überhaupt nach der sog. gemischten Methode zu bemessen war (zur Frage nach der anwendbaren Invaliditätsbemessungsmethode vgl. Art. 8 und Art. 16 ATSG sowie Art. 28a Abs. 2 und 3 IVG). Die Versicherte wurde gemäss vorliegender Aktenlage nie explizit angefragt, ob sie bei voller Gesundheit vollzeitlich oder teilzeitlich erwerbstätig wäre resp. aus welchen Gründen sie allenfalls Teilzeitarbeit geleistet habe (vgl. hierzu BGE 133 V 504 E. 3.3, 131 V 51 E. 5.1.2 und E. 5.2 und 125 V 146 E. 2c). Immerhin hat sie die Erwerbstätigkeit offenbar aus gesundheitlichen Gründen aufgegeben, und es besteht durchaus die Möglichkeit, dass sie sich aufgrund ihres Gesundheitszustandes resp. nicht aus freien Stücken der Haushaltstätigkeit zugewandt hat (act. 58).</w:t>
      </w:r>
    </w:p>
    <w:p>
      <w:r>
        <w:rPr>
          <w:b/>
        </w:rPr>
        <w:t>E. 3.5</w:t>
      </w:r>
    </w:p>
    <w:p>
      <w:r>
        <w:t>Zusammenfassend ist festzuhalten, dass die Vorinstanz betreffend den Status der Beschwerdeführerin ebenfalls zusätzlich weitere Abklärungen durchzuführen hat. Weiter hat sie nach Vorliegen der Ergebnisse der erforderlichen Begutachtung - im Rahmen welcher gegebenenfalls auch die Einschränkungen im Haushalt sowie sämtliche bisher verfassten ärztlichen Berichte zu berücksichtigen sind - die Invalidität nach der angezeigten Methode zu bemessen. Schliesslich hat sie ergänzend Abklärungen hinsichtlich der Verwertbarkeit der Arbeitsfähigkeit in die Wege zu leiten (vgl. Urteile I 462/02 des EVG vom 26. Mai 2003 und 9C_921/2009 des BGer vom 22. Juni 2010).</w:t>
      </w:r>
    </w:p>
    <w:p>
      <w:r>
        <w:rPr>
          <w:b/>
        </w:rPr>
        <w:t>E. 4</w:t>
      </w:r>
    </w:p>
    <w:p>
      <w:r>
        <w:t>Nach dem vorstehend Dargelegten wurde im vorliegend zu beurteilenden Rentenverfahren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sie in der notwendigen Beantwortung der bisher ungeklärten Fragen nach dem Status und dem Zusammenwirken der psychischen und somatischen Leiden der Beschwerdeführerin und den Auswirkungen auf die Arbeits- resp. Leistungsfähigkeit begründet liegt (vgl. BGE 137 V 210 E. 4.4.1.4). Die Beschwerde vom 20. November 2012 ist demnach insoweit gutzuheissen, als dass die angefochtene Verfügung vom 16. Oktober 2012 aufzuheben ist und die Akten im Sinne der Erwägungen an die Vorinstanz zum Erlass einer neuen Verfügung zurückzuweisen sind.</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Der Vorinstanz werden ebenfalls keine Verfahrenskosten auferlegt (Art. 63 Abs. 2 VwVG).</w:t>
      </w:r>
    </w:p>
    <w:p>
      <w:r>
        <w:rPr>
          <w:b/>
        </w:rPr>
        <w:t>E. 5.2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2'000.- (inkl. Auslagen) gerechtfertigt (Art. 65 Abs. 5 VwVG i.V.m. Art. 16 Abs. 1 Bst. a VGG und Art. 14 Abs. 2 VGKE). Darauf hinzuweisen ist, dass die Mehrwertsteuer nur auf den im Inland von steuerpflichtigen Personen gegen Entgelt erbrachten Leistungen und auf dem Bezug von Leistungen von Unternehmen mit Sitz im Ausland durch Empfänger und Empfängerinnen im Inland erhoben wird (vgl. Art. 1 Abs. 2 Bst. a und b des Bundesgesetzes vom 2. September 1999 über die Mehrwertsteuer [MWSTG; SR 641.20] i.V.m. Art. 8 Abs. 1 MWSTG und Art. 9 Abs. 1 Bst. c VGKE [vgl. Urteil des Bundesverwaltungsgerichts C-7741/2009 vom 9. August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