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C-6061/2014 vom 6. Juni 2016</w:t>
      </w:r>
    </w:p>
    <w:p>
      <w:r>
        <w:t>Bundesverwaltungsgericht, 2016-06-06, DE</w:t>
      </w:r>
    </w:p>
    <w:p>
      <w:r>
        <w:rPr>
          <w:b/>
        </w:rPr>
        <w:t xml:space="preserve">Quelle: </w:t>
      </w:r>
      <w:r>
        <w:t>https://mcp.opencaselaw.ch/entscheid/bvger_C-6061_2014</w:t>
      </w:r>
    </w:p>
    <w:p>
      <w:r>
        <w:t>FR: TAF C-6061/2014 du 6 juin 2016</w:t>
      </w:r>
    </w:p>
    <w:p>
      <w:r>
        <w:t>IT: TAF C-6061/2014 del 6 giugno 2016</w:t>
      </w:r>
    </w:p>
    <w:p>
      <w:pPr>
        <w:pStyle w:val="Heading2"/>
      </w:pPr>
      <w:r>
        <w:t>Regeste</w:t>
      </w:r>
    </w:p>
    <w:p>
      <w:r>
        <w:t>Spezialitätenliste in der Krankenversicherung</w:t>
      </w:r>
    </w:p>
    <w:p>
      <w:pPr>
        <w:pStyle w:val="Heading2"/>
      </w:pPr>
      <w:r>
        <w:t>Erwägungen</w:t>
      </w:r>
    </w:p>
    <w:p>
      <w:r>
        <w:rPr>
          <w:b/>
        </w:rPr>
        <w:t>E. 1</w:t>
      </w:r>
    </w:p>
    <w:p>
      <w:r>
        <w:t>Die Zuständigkeit des Bundesverwaltungsgerichts zur Beurteilung der vorliegenden Beschwerde vom 20. Oktober 2014 gegen die als Verfügung im Sinn von Art. 5 Abs. 1 VwVG zu qualifizierende Anordnung der Vorinstanz vom 19. September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19. September 2014, mit welcher im Rahmen der Überprüfung der Aufnahmebedingungen alle drei Jahre der Publikumspreis (PP) des von der Beschwerdeführerin vertriebenen Arzneimittels C._______ unter alleiniger Anwendung des APV per 1. November 2014 um 15.6 % gesenkt wurde. Streitgegenstand, der sich grundsätzlich durch den Gegenstand der angefochtenen Verfügung sowie die Parteibegehren bestimmt (BGE 133 II 35 E. 2), ist hier die angeordnete Preissenkung für alle Formen von C._______ und deren Publikation im Bulletin des BAG. Die Vorinstanz hat der Beschwerde die aufschiebende Wirkung nicht entzogen und folgerichtig auch Ziffer 2 der angefochtenen Verfügung nicht vollzogen, wonach die neuen Preise im Bulletin des BAG vom November 2014 veröffentlicht werden. Es erübrigt sich deshalb, auf das diesbezügliche Rechtsbegehren der Beschwerdeführerin einzugehen.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19. September 2014 geltenden materiellen Bestimmungen (vgl. Urteil des BVGer C-2979/2008 vom 1. Dezember 2010 E. 4.1).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19. September 2014 in Kraft standen.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abgerufen am 23. Mai 2016).</w:t>
      </w:r>
    </w:p>
    <w:p>
      <w:r>
        <w:rPr>
          <w:b/>
        </w:rPr>
        <w:t>E. 5</w:t>
      </w:r>
    </w:p>
    <w:p>
      <w:r>
        <w:t>Nicht strittig ist, dass für das Arzneimittel C._______ nach wie vor eine gültige Zulassung des Heilmittelinstituts (Swissmedic) vorliegt (siehe auch die Liste der zugelassenen Präparate auf www.swissmedic.ch &gt; Arzneimittel &gt; Zugelassene Präparate &gt; Human- und Tierarzneimittel, abgerufen am 23. Mai 2016). Ebenfalls nicht umstritten ist, dass C._______ die Zulassungsvoraussetzungen der Wirksamkeit und Zweckmässigkeit immer noch erfüllt. Umstritten und zu prüfen ist die Beurteilung der Wirtschaftlichkeit im Rahmen der dreijährlichen Überprüfung. Dabei ist angesichts des vom Bundesgericht mit BGE 142 V 26 bestätigten Grundsatzurteils des Bundesverwaltungsgerichts C-5912/2013 zu klären, ob die Vorinstanz die umstrittenen Medikamentenpreissenkungen ausschliesslich gestützt auf einen APV ohne Durchführung eines TQV verfügen durfte.</w:t>
      </w:r>
    </w:p>
    <w:p>
      <w:r>
        <w:rPr>
          <w:b/>
        </w:rPr>
        <w:t>E. 5.1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5.2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5.3</w:t>
      </w:r>
    </w:p>
    <w:p>
      <w:r>
        <w:t>Die Vorinstanz hat in der angefochtenen Verfügung festgehalten, dass bei der Überprüfung der Aufnahmebedingungen alle drei Jahre die Beurteilung der Wirtschaftlichkeit primär auf dem APV basiere. Der TQV komme bei der dreijährlichen Überprüfung der Aufnahmebedingungen nur in - hier nicht vorliegenden - Ausnahmefällen zur Anwendung. Der Verzicht auf einen TQV sei sachgerecht und verstosse nicht gegen das KVG. Die Beschwerdeführerin machte dagegen geltend, dass die Wirtschaftlichkeit anhand des APV und des TQV zu beurteilen sei. Art. 65d Abs. 1bis KVV sei nicht gesetzmässig.</w:t>
      </w:r>
    </w:p>
    <w:p>
      <w:r>
        <w:rPr>
          <w:b/>
        </w:rPr>
        <w:t>E. 5.4</w:t>
      </w:r>
    </w:p>
    <w:p>
      <w:r>
        <w:t>Wie das Bundesverwaltungsgericht im Grundsatzurteil C-5912/2013 entschieden hat, stellt eine Wirtschaftlichkeitsprüfung im Rahmen der dreijährlichen Überprüfung der Aufnahmebedingungen unter alleiniger Anwendung des APV keine rechtsgenügliche Wirtschaftlichkeitsprüfung dar, wie sie von Art. 32 Abs. 1 KVG vorgeschrieben wird. Das BAG stützte sich im beurteilten Fall auf Art. 65d Abs. 1bis Bst. a KVV,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APV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5.5</w:t>
      </w:r>
    </w:p>
    <w:p>
      <w:r>
        <w:t>Mit Blick auf das dargelegte und vom Bundesgericht mit BGE 142 V 26 bestätigte Grundsatzurteil des Bundesverwaltungsgerichts C-5912/2013 ist festzuhalten, dass die von der Vorinstanz im Rahmen der dreijährlichen Prüfung allein gestützt auf den APV verfügte Preissenkung nicht auf einer ausreichenden Rechtsgrundlage beruht, was auch im vorliegenden Fall zur Aufhebung der angefochtenen Verfügung vom 19. September 2014 führt. Es ist nicht Sache des Bundesverwaltungsgerichts, vorliegend in reformatorischer Entscheidung einen Fabrikabgabepreis für C._______ zu bestimmen, zumal die Vorinstanz bezüglich Durchführung des TQV keine Abklärungen getroffen und in der angefochtenen Verfügung keine Ausführungen dazu gemacht hat. Die Streitsache ist demnach im Sinne des Hauptantrags der Beschwerdeführerin an die Vorinstanz zur Vornahme einer neuen, umfassenden Wirtschaftlichkeitsprüfung im Sinne der vorstehenden Erwägung zurückzuweisen. Die Überprüfung der Aufnahmebedingungen wird dabei anhand von APV und TQV vorzunehmen sein. Nicht zu beurteilen ist, wie der TQV im vorliegenden Fall konkret auszugestalten und wie die Vergleichsgruppe zu bestimmen ist.</w:t>
      </w:r>
    </w:p>
    <w:p>
      <w:r>
        <w:rPr>
          <w:b/>
        </w:rPr>
        <w:t>E. 6</w:t>
      </w:r>
    </w:p>
    <w:p>
      <w:r>
        <w:t>Eine abschliessende Prüfung der geltend gemachten Verletzung der Wirtschaftsfreiheit erübrigt sich, da die angefochtene Verfügung ohnehin aufzuheben ist, und die Vorinstanz die Preise von C._______ auch unter Berücksichtigung des TQV neu festzusetzen haben wird (vgl. auch Urteil des BVGer C-6066/2014 vom 21. April 2016 E. 7).</w:t>
      </w:r>
    </w:p>
    <w:p>
      <w:r>
        <w:rPr>
          <w:b/>
        </w:rPr>
        <w:t>E. 6.1</w:t>
      </w:r>
    </w:p>
    <w:p>
      <w:r>
        <w:t>Soweit die Ausführungen der Beschwerdeführerin aber darauf abzielen, aus der Wirtschaftsfreiheit einen Anspruch abzuleiten, gegenüber der obligatorischen Krankenpflegeversicherung für eine längere Zeit einen höheren Preis abrechnen zu können, ist festzuhalten, dass die Wirtschaftsfreiheit im Bereich der Preisbestimmung im Rahmen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w:t>
      </w:r>
    </w:p>
    <w:p>
      <w:r>
        <w:rPr>
          <w:b/>
        </w:rPr>
        <w:t>E. 6.2</w:t>
      </w:r>
    </w:p>
    <w:p>
      <w:r>
        <w:t>Es ist unvermeidlich, dass der Anspruch auf Gleichbehandlung der Gewerbegenossen im Bereich der Modalitäten der Preisfestsetzung von Arzneimitteln in der Spezialitätenliste stark relativiert wird (vgl. Urteile des BVGer C-3590/2012 vom 1. September 2015 E. 10.3 und C-5818/2012 vom 1. September 2015 E. 11.3). Im Arzneimittelmarkt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Hier ist aber keine Ungleichbehandlung ersichtlich, da alle Zulassungsinhaberinnen bei der dreijährlichen Überprüfung gleich behandelt werden (vgl. auch Urteil des BVGer C-6066/2014 vom 21. April 2016 E. 7.2).</w:t>
      </w:r>
    </w:p>
    <w:p>
      <w:r>
        <w:rPr>
          <w:b/>
        </w:rPr>
        <w:t>E. 7</w:t>
      </w:r>
    </w:p>
    <w:p>
      <w:r>
        <w:t>Aus dem Dargelegten folgt, dass der entscheidwesentliche Sachverhalt bezüglich der Durchführung eines TQV nicht abgeklärt wurde, weshalb die Streitsache nicht abschliessend materiell beurteilt werden kann. Die Beschwerde ist daher dahingehend gutzuheissen, dass die angefochtene Verfügung vom 19. September 2014 aufzuheben und die Sache an die Vorinstanz zur Vornahme einer neuen, umfassenden Wirtschaftlichkeitsprüfung zurückzuweisen ist (Art. 61 Abs. 1 VwVG).</w:t>
      </w:r>
    </w:p>
    <w:p>
      <w:r>
        <w:rPr>
          <w:b/>
        </w:rPr>
        <w:t>E. 8.1</w:t>
      </w:r>
    </w:p>
    <w:p>
      <w:r>
        <w:t>Das Bundesverwaltungsgericht auferlegt gemäss Art. 63 Abs. 1 und Abs. 3 VwVG die Verfahrenskosten in der Regel der unterliegenden Partei. Die Rückweisung gilt als Obsiegen der beschwerdeführenden Partei (vgl. Urteil des BVGer C-2351/2013 vom 17. März 2016 mit Hinweis auf BGE 137 V 57 E. 2.1), weshalb der Beschwerdeführerin im vorliegenden Fall keine Verfahrenskosten aufzuerlegen sind. Der geleistete Kostenvorschuss von Fr. 4'000.- ist ihr nach Eintritt der Rechtskraft des vorliegenden Urteils auf ein von ihr zu bezeichnendes Konto zurückzuerstatten. Der Vorinstanz sind keine Verfahrenskosten aufzuerlegen (vgl. Art. 63 Abs. 2 VwVG).</w:t>
      </w:r>
    </w:p>
    <w:p>
      <w:r>
        <w:rPr>
          <w:b/>
        </w:rPr>
        <w:t>E. 8.2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4'000.- (inkl. Auslagen und Mehrwertsteuer) zuzusprechen.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