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C-6052/2013 vom 30. Juni 2015</w:t>
      </w:r>
    </w:p>
    <w:p>
      <w:r>
        <w:t>Bundesverwaltungsgericht, 2015-06-30, DE</w:t>
      </w:r>
    </w:p>
    <w:p>
      <w:r>
        <w:rPr>
          <w:b/>
        </w:rPr>
        <w:t xml:space="preserve">Quelle: </w:t>
      </w:r>
      <w:r>
        <w:t>https://mcp.opencaselaw.ch/entscheid/bvger_C-6052_2013</w:t>
      </w:r>
    </w:p>
    <w:p>
      <w:r>
        <w:t>FR: TAF C-6052/2013 du 30 juin 2015</w:t>
      </w:r>
    </w:p>
    <w:p>
      <w:r>
        <w:t>IT: TAF C-6052/2013 del 30 giugno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4.1</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daher Anlass für die Verhängung eines Einreiseverbots sein (vgl. etwa Urteil des BVGer C-3576/2012 vom 9. August 2013 E. 3.2 mit Hinweis), wobei der Erlass einer solchen Massnahme, wie erwähnt, stets zum Schutz vor künftigen Störungen und nicht im Sinne einer Sanktion erfolgt (vgl. Botschaft, a.a.O., S. 3813).</w:t>
      </w:r>
    </w:p>
    <w:p>
      <w:r>
        <w:rPr>
          <w:b/>
        </w:rPr>
        <w:t>E. 5.1</w:t>
      </w:r>
    </w:p>
    <w:p>
      <w:r>
        <w:t>Die Vorinstanz wirft dem Beschwerdeführer in der angefochtenen Verfügung vor, in der Schweiz ohne die erforderliche ausländerrechtliche Bewilligung erwerbstätig gewesen zu sein. Damit liege gemäss ständiger Praxis ein schwerer Verstoss gegen die öffentliche Sicherheit und Ordnung vor. Der Beschwerdeführer beruft sich in seiner Rechtsmitteleingabe vom 24. Oktober 2013 derweil darauf, er habe bei seinen Ausreisen gelegentlich Sperrmüll mit in die Heimat genommen und diesen dort verkauft. Dies habe er jedoch nicht gewerbsmässig, sondern lediglich gelegentlich betrieben mit der Absicht, finanzielle Mittel zu erlangen, um in die Schweiz kommen zu können. Eine Erwerbstätigkeit mit der ständigen Absicht, Gewinn zu erzielen, sei somit nicht gegeben, womit auch kein Verstoss gegen die öffentliche Sicherheit und Ordnung vorliege.</w:t>
      </w:r>
    </w:p>
    <w:p>
      <w:r>
        <w:rPr>
          <w:b/>
        </w:rPr>
        <w:t>E. 5.2</w:t>
      </w:r>
    </w:p>
    <w:p>
      <w:r>
        <w:t>Ausländerinnen und Ausländer, die in der Schweiz eine Erwerbstätigkeit ausüben wollen, benötigen unabhängig von der Aufenthaltsdauer eine Bewilligung, welche bei der am vorgesehenen Arbeitsort zuständigen Behörde zu beantragen ist (Art. 11 Abs. 1 Satz 1 AuG). Als Erwerbstätigkeit gilt jede üblicherweise gegen Entgelt ausgeübte unselbständige oder selbständige Tätigkeit, selbst wenn sie unentgeltlich erfolgt (Art. 11 Abs. 2 AuG). Der ausländerrechtliche Begriff der Erwerbstätigkeit ist dabei weiter gefasst als der herkömmliche und erfasst ungeachtet eines Entgelts im Einzelfall alle Verrichtungen, die üblicherweise gegen Entgelt angeboten werden (vgl. BGE 122 IV 231 ff. und BGE 118 Ib 81 ff.). Als selbständige Erwerbstätigkeit gilt die Ausübung einer Tätigkeit im Rahmen einer eigenen, frei gewählten Organisation, die auf die Einkommenserzielung ausgerichtet ist, unter eigener Weisungsgewalt steht und das unternehmerische Risiko selbst trägt. Diese frei gewählte Organisation tritt nach aussen in Erscheinung, indem beispielsweise ein Handels-, Fabrikations-, Dienstleistungs-, Gewerbe- oder anderer Geschäftsbetrieb geführt wird (Art. 2 VZAE).</w:t>
      </w:r>
    </w:p>
    <w:p>
      <w:r>
        <w:rPr>
          <w:b/>
        </w:rPr>
        <w:t>E. 5.2.1</w:t>
      </w:r>
    </w:p>
    <w:p>
      <w:r>
        <w:t>Den Akten der kantonalen Migrationsbehörde lässt sich in dieser Hinsicht entnehmen, dass der Beschwerdeführer seit seiner Wiedereinreise in die Schweiz im Juli 2013 während rund drei Monaten eine unbewilligte Erwerbstätigkeit ausübte, indem er in der Region Thun, Bern und Graubünden Alteisen sammelte, um dieses an die Firma X._______ GmbH in Y._______/BE zu verkaufen. Während dieser Zeit hielt er sich ohne Aufenthaltstitel bei seiner im Kanton Aargau wohnhaften Lebenspartnerin B._______ auf. Anlässlich seiner polizeilichen Einvernahme vom 2. Oktober 2013 gab der Beschwerdeführer denn auch zu, während zwei bis drei Tagen in der Woche jeweils etwa sechs Stunden gearbeitet und dabei ein monatliches Netto-Einkommen von ca. Fr. 1'200.- erzielt zu haben. Für diese Tätigkeit habe er weder über ein Visum zur Erwerbstätigkeit verfügt noch eine Arbeitsbewilligung bei der zuständigen Behörde beantragt.</w:t>
      </w:r>
    </w:p>
    <w:p>
      <w:r>
        <w:rPr>
          <w:b/>
        </w:rPr>
        <w:t>E. 5.2.2</w:t>
      </w:r>
    </w:p>
    <w:p>
      <w:r>
        <w:t>In der Folge wurde der Beschwerdeführer denn auch für sein Verhalten strafrechtlich belangt und mit Urteil des Bezirksgerichts Zofingen vom 4. November 2014 wegen rechtswidrigen Aufenthaltes gemäss Art. 115 Abs. 1 Bst. b AuG sowie Erwerbstätigkeit ohne Bewilligung gemäss Art. 115 Abs. 1 Bst. c AuG zu einer bedingt erlassenen Geldstrafe von 40 Tagessätzen zu je Fr. 10.- sowie einer Busse von Fr. 100.- verurteilt. Mangels Anfechtung ist dieses Strafurteil in Rechtskraft erwachsen.</w:t>
      </w:r>
    </w:p>
    <w:p>
      <w:r>
        <w:rPr>
          <w:b/>
        </w:rPr>
        <w:t>E. 5.3</w:t>
      </w:r>
    </w:p>
    <w:p>
      <w:r>
        <w:t>Nicht von Belang für das vorliegende Verfahren ist zudem, dass die Vorinstanz die Fernhaltemassnahme verhängt hat, bevor der Strafbefehl ergangen ist. Wie bereits erwähnt, knüpft das Einreiseverbot grundsätzlich nicht an die Erfüllung einer Strafnorm, sondern an das Vorliegen einer Polizeigefahr an. Ob eine solche besteht und wie sie zu gewichten ist, hat die Behörde in eigener Kompetenz unter Zugrundelegung spezifisch ausländerrechtlicher Kriterien zu beurteilen. Die Behörde ist deshalb in der Regel nicht gehalten, den rechtskräftigen Abschluss eines Strafverfahrens abzuwarten. Vielmehr kann ein Einreiseverbot auch dann ergehen, wenn ein rechtskräftiges Strafurteil fehlt, sei es, weil ein Strafverfahren gar nicht eröffnet oder eingestellt wurde oder noch hängig ist (vgl. Urteil des BVGer C-512/2009 vom 3. April 2013 E. 6.2 mit Hinweis). Der Vollständigkeitshalber ist darauf hinzuweisen, dass für die Verhängung eines Einreiseverbots denn auch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C-935/2014 vom 17. Juni 2014 E. 3.3).</w:t>
      </w:r>
    </w:p>
    <w:p>
      <w:r>
        <w:rPr>
          <w:b/>
        </w:rPr>
        <w:t>E. 5.4</w:t>
      </w:r>
    </w:p>
    <w:p>
      <w:r>
        <w:t>Der Beschwerdeführer, dessen Aufenthalt mit der Aufnahme der unbewilligten Erwerbstätigkeit zugleich illegal war (vgl. Art. 11 Abs. 1 AuG), hat somit hinreichenden Anlass für die Verhängung eines Einreiseverbots gemäss Art. 67 Abs. 2 Bst. a AuG gegeben. Daran vermag auch die Tatsache nichts zu ändern, dass er letztlich vom Strafrichter vom Vorwurf der rechtswidrigen Einreise gemäss Art. 115 Abs. 1 Bst. a AuG freigesprochen worden ist.</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Allgemeines Verwaltungsrecht, 6. Aufl., Zürich und St. Gallen 2010, Rz. 613 f.).</w:t>
      </w:r>
    </w:p>
    <w:p>
      <w:r>
        <w:rPr>
          <w:b/>
        </w:rPr>
        <w:t>E. 6.2</w:t>
      </w:r>
    </w:p>
    <w:p>
      <w:r>
        <w:t>Wie oben erwähnt, reiste der Beschwerdeführer nach rechtskräftiger Wegweisungsverfügung im Juli 2013 wiederum in die Schweiz ein, wobei er während rund drei Monaten ohne Bewilligung einer Erwerbstätigkeit nachging, welche schliesslich zu einer strafrechtlichen Verurteilung wegen Verletzung ausländerrechtlicher Vorschriften führte. Aus seinem manifestierten Verhalten wird auf eine Gefährdung der öffentlichen Sicherheit und Ordnung geschlossen. Das Einreiseverbot hat in erster Linie präventiven Charakter, um einer weiteren illegalen Erwerbstätigkeit des Beschwerdeführers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(zur Zulässigkeit der Berücksichtigung generalpräventiver Aspekte in Konstellationen, in denen wie hier kein sogenannter Vertragsausländer betroffen ist, vgl. Urteil des BGer 2C_282/2012 vom 31. Juli 2012 E. 2.5 mit Hinweisen).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 2771/2010 vom 3. Februar 2012 E. 6.1). Es besteht somit ein gewichtiges öffentliches Interesse an der Fernhaltung des Beschwerdeführers.</w:t>
      </w:r>
    </w:p>
    <w:p>
      <w:r>
        <w:rPr>
          <w:b/>
        </w:rPr>
        <w:t>E. 6.3.1</w:t>
      </w:r>
    </w:p>
    <w:p>
      <w:r>
        <w:t>Den öffentlichen Interessen sind die privaten Interessen des Beschwerdeführers und seiner in der Schweiz lebenden Angehörigen gegenüberzustellen. Der Beschwerdeführer beruft sich dabei auf Art. 8 EMRK und macht in diesem Zusammenhang geltend, durch die Fernhaltemassnahme würde die Bildung der geplanten Familie verunmöglicht. Zudem sei seine Lebenspartnerin, in psychologischer Behandlung stehend, dringend auf seine Unterstützung für sich und die beiden gemeinsamen Kinder angewiesen.</w:t>
      </w:r>
    </w:p>
    <w:p>
      <w:r>
        <w:rPr>
          <w:b/>
        </w:rPr>
        <w:t>E. 6.3.2</w:t>
      </w:r>
    </w:p>
    <w:p>
      <w:r>
        <w:t>Hervorzuheben ist, dass allfällige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der Nichtverlängerung seiner Aufenthaltsbewilligung Anfang April 2013 verlassen (vgl. Sachverhalt Bst. B) und verzichtete - jedenfalls soweit ersichtlich - bis anhin darauf, ein neuerliches Aufenthaltsverfahren anzustrengen. Die Wohnsitznahme in der Schweiz wie auch die Pflege regelmässiger persönlicher Kontakte zu seinen hier lebenden Angehörigen scheitern mithin bereits an der nicht mehr vorhandenen Aufenthaltsberechtigung des Beschwerdeführers. Eine allfällige neue Bewilligung im Rahmen des Familiennachzugs ist nicht Gegenstand dieses Verfahrens. Hierfür ist der Kanton zuständig (vgl. dazu BVGE 2013/4 E. 7.4.1). Abgesehen davon ergeben sich aus den vorliegenden Akten keine Hinweise, wonach der Beschwerdeführer inzwischen seine im Kanton Aargau wohnhafte Lebensgefährtin und Mutter seiner beiden Kinder geheiratet hätte.</w:t>
      </w:r>
    </w:p>
    <w:p>
      <w:r>
        <w:rPr>
          <w:b/>
        </w:rPr>
        <w:t>E. 6.3.3</w:t>
      </w:r>
    </w:p>
    <w:p>
      <w:r>
        <w:t>Nach dem Gesagten stellt sich im Folgenden nunmehr einzig die Frage, ob die über die Verweigerung des Aufenthaltsrechts hinausgehen­de, durch das Einreiseverbot zusätzlich bewirkte Erschwernis vor Art. 8 Ziff. 1 EMRK und Art. 13 Abs. 1 BV standhält. Bei dieser Prüfung ist zu berücksichtigen, dass dem Beschwerdeführer durch das Einreiseverbot Besuchsaufenthalte bei seiner Lebenspartnerin bzw. seinen Kindern in der Schweiz nicht schlechthin untersagt werden. Es steht ihm - wie die Vorinstanz in ihrer Verfügung zu Recht festgehalten hat - vielmehr die Möglichkeit offen, aus humanitären oder anderen wichtigen Gründen mittels begründetem Gesuch die zeitweilige Sus­pension der angeordneten Fernhaltemassnahme zu beantragen (Art. 67 Abs. 5 AuG). Von dieser Möglichkeit hat der Beschwerdeführer denn auch in der Vergangenheit wiederholt Gebrauch machen können (vgl. Suspensionsverfügungen des BFM vom 28. August und 24. September 2014). In casu kann somit den geltend gemachten privaten Interessen des Beschwerdeführers und seinen Angehörigen in der Schweiz im dargelegten Umfang und Rahmen Rechnung getragen werden. Zudem kann die aus einem ähnlichen Kulturkreis stammende Lebensgefährtin zusammen mit ihren Kindern den Beschwerdeführer in Serbien besuchen und den Kontakt auch mittels Telefon und modernen Kommunikationsmitteln aufrechterhalten. Allerdings darf ein Einreiseverbot nicht mittels Suspensionen ausgehöhlt werden. Selbst wenn die Vorinstanz dem Wunsch nach Kontaktpflege relativ grosszügig nachkommt, kann mithin ein Familienleben lediglich in erheblich eingeschränktem Rahmen stattfinden (vgl. BVGE 2013/4 E. 7.4.3 mit Hinweisen). Die mit dem Einreiseverbot verbundenen Einschränkungen sind also in mehrfacher Hinsicht zu relativieren. Angesichts dessen vermögen die geltend gemachten privaten Interessen weder eine Aufhebung noch eine Reduktion der Dauer der Fernhaltemassnahme zu rechtfertigen.</w:t>
      </w:r>
    </w:p>
    <w:p>
      <w:r>
        <w:rPr>
          <w:b/>
        </w:rPr>
        <w:t>E. 6.4</w:t>
      </w:r>
    </w:p>
    <w:p>
      <w:r>
        <w:t>Aufgrund einer wertenden Gewichtung der sich entgegenstehenden Interessen gelangt das Bundesverwaltungsgericht zum Schluss, dass sich das auf zwei Jahre befristete Einreiseverbot unter Berücksichtigung der gängigen Praxis in vergleichbaren Fällen als verhältnismässig und angemessen erweist.</w:t>
      </w:r>
    </w:p>
    <w:p>
      <w:r>
        <w:rPr>
          <w:b/>
        </w:rPr>
        <w:t>E. 7</w:t>
      </w:r>
    </w:p>
    <w:p>
      <w:r>
        <w:t>Die Vorinstanz hat in der angefochtenen Verfügung ferner die Ausschreibung des Einreiseverbots im SIS II angeordnet. Der Beschwerdeführer ist nicht Bürger eines Mitgliedstaates der Europäischen Union. Aufgrund der Ausschreibung im SIS ist es ihm untersagt, den Schengen-Raum zu betreten. Der darin liegende Eingriff wird durch die Bedeutung des Falles gerechtfertigt (vgl. Art. 21 i.V.m. Art. 24 Abs. 2 SIS-II-VO). Zum einen ist aufgrund des Verhaltens des Betroffenen - wie oben ausgeführt - von einer nicht unbeachtlichen Gefährdung der öffentlichen Sicherheit und Ordnung auszugehen, zum andern hat die Schweiz die Interessen der Gesamtheit aller Schengen-Staaten zu wahren (vgl. BVGE 2011/48 E. 6.1). Es bleibt den Schengen-Staaten dabei unbenommen, der ausgeschriebenen Person bei Vorliegen besonderer Gründe die Einreise ins eigene Hoheitsgebiet zu gestatten (vgl. auch Art. 67 Abs. 5 AuG). Die Voraussetzungen für die Ausschreibung im SIS sind demnach ebenfalls erfüllt, weshalb dem Antrag auf deren Löschung nicht stattzugeben ist.</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