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C-6048/2014 vom 9. Juni 2016</w:t>
      </w:r>
    </w:p>
    <w:p>
      <w:r>
        <w:t>Bundesverwaltungsgericht, 2016-06-09, IT</w:t>
      </w:r>
    </w:p>
    <w:p>
      <w:r>
        <w:rPr>
          <w:b/>
        </w:rPr>
        <w:t xml:space="preserve">Quelle: </w:t>
      </w:r>
      <w:r>
        <w:t>https://mcp.opencaselaw.ch/entscheid/bvger_C-6048_2014</w:t>
      </w:r>
    </w:p>
    <w:p>
      <w:r>
        <w:t>FR: TAF C-6048/2014 du 9 juin 2016</w:t>
      </w:r>
    </w:p>
    <w:p>
      <w:r>
        <w:t>IT: TAF C-6048/2014 del 9 giugno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Conformemente all'art. 67 cpv. 1 LStr (RS 142.20),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3.4</w:t>
      </w:r>
    </w:p>
    <w:p>
      <w:r>
        <w:t>In virtù del messaggio LStr precitato (FF 2002 3327, pag. 3428) l'emanazione di un divieto d'entrata non deve essere interpretato quale sanzione dal carattere penale, bensì quale misura di protezione a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5.1</w:t>
      </w:r>
    </w:p>
    <w:p>
      <w:r>
        <w:t>Nella fattispecie in disanima, la SEM ha pronunciato nei confronti di A._______ una decisione di divieto d'entrata in Svizzera e nel Liechtenstein di durata dapprima indeterminata, successivamente ha limitato gli effetti di tale misura al 6 gennaio 2019, dunque per una durata complessiva di 4 anni, 11 mesi e 3 giorni. L'autorità inferiore ha considerato che il comportamento dell'interessato, condannato a più riprese sia in Svizzera sia in Germania per infrazioni legate agli stupefacenti, costituisce una grave violazione e esposizione a pericolo dell'ordine e della sicurezza pubblici.</w:t>
      </w:r>
    </w:p>
    <w:p>
      <w:r>
        <w:rPr>
          <w:b/>
        </w:rPr>
        <w:t>E. 5.2</w:t>
      </w:r>
    </w:p>
    <w:p>
      <w:r>
        <w:t>Come si è visto (cfr. lett. C supra) nel corso dell'ultimo ventennio A._______ è stato condannato in più occasioni per reati legati essenzialmente alle sostanze stupefacenti, sia in Svizzera, sia in Germania. Ed è proprio in quest'ultimo paese che l'insorgente ha subito le condanne più severe. Il 20 aprile 1998 l'Amtsgericht di Düsseldorf gli ha inflitto una pena detentiva di 11 mesi, sospesi condizionalmente per un periodo di prova di 2 anni, per traffico illegale di sostanze stupefacenti e resistenza a pubblico ufficiale. In data 5 settembre 2001 il Landgericht di Traunstein lo ha condannato per grave traffico illegale di sostanze stupefacenti ad una pena di 4 anni di detenzione da scontare (cfr. sentenza del Tribunale cantonale amministrativo del Cantone Ticino [TRAM] del 17 agosto 2009, pag. 57 dell'incarto Simic). Occorre a questo proposito sottolineare che accanto alle condanne inflitte in Svizzera, anche le condanne pronunciate all'estero - in casu in Germania - permettono di emanare un divieto d'entrata nei confronti di A._______, in quanto la SEM può vietare l'ingresso agli stranieri che hanno violato od espongono a pericolo l'ordine e la sicurezza pubblici in Svizzera o all'estero (cfr. art. 67 cpv. 2 lett. a LStr). In Svizzera il ricorrente ha interessato le autorità di perseguimento penale a più riprese. Le ultime due condanne risalgono rispettivamente al 3 dicembre 2008, quando con decreto d'accusa del Ministero pubblico del Cantone Ticino gli è stata inflitta una pena detentiva di 83 giorni per infrazione alla LStup, soggiorno illegale ed attività lucrativa senza autorizzazione, e al 2 settembre 2013 quando, mediante decreto d'accusa, la medesima autorità ha inflitto a A._______ una pena pecuniaria di 40 aliquote giornaliere sospesa per 3 anni per il reato di infrazione alla LStup. È d'uopo sottolineare che l'agire penalmente reprensibile dell'interessato, unito al fatto che i delitti commessi fossero legati prevalentemente alle sostanze stupefacenti (con il conseguente pericolo per la salute pubblica) e che gli stessi siano avvenuti sull'arco di più anni, ha portato il 16 dicembre 2008 la Sezione dei permessi e dell'immigrazione del Cantone Ticino (attualmente: Sezione della popolazione) a rifiutargli la concessione di un permesso di dimora in Svizzera, detta decisione è stata in seguito confermata dal Consiglio di Stato (il 1° aprile 2009), dal TRAM (in data 17 agosto 2009) ed in via definitiva dal Tribunale federale (cfr. sentenza del TF 2C_618/2009 del 27 gennaio 2010).</w:t>
      </w:r>
    </w:p>
    <w:p>
      <w:r>
        <w:rPr>
          <w:b/>
        </w:rPr>
        <w:t>E. 5.3</w:t>
      </w:r>
    </w:p>
    <w:p>
      <w:r>
        <w:t>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particolare il traffico di droga, costituiscono in generale una violazione molto grave alla sicurezza e all'ordine pubblico (cfr. sentenza del TF 2C_139/2013 dell'11 giugno 2013 consid. 6.2.3 e riferimenti ivi citati). Il Tribunale considera che, nonostante le condanne inflitte a A._______ in Svizzera non fossero caratterizzate da pene particolarmente severe, il suo agire delittuoso sull'arco di molti anni in Svizzera e all'estero (sebbene agli atti non figurino i dettagli delle condanne inflitte in Germania) e sempre nell'ambito delle sostanze stupefacenti non può che indurre a pensare che l'interessato non sia un attore secondario nell'ambito del traffico di droga, ragione per cui egli costituisce un pericolo per l'ordine e la sicurezza pubblici.</w:t>
      </w:r>
    </w:p>
    <w:p>
      <w:r>
        <w:rPr>
          <w:b/>
        </w:rPr>
        <w:t>E. 5.4</w:t>
      </w:r>
    </w:p>
    <w:p>
      <w:r>
        <w:t>Inoltre, occorre tenere in considerazione il fatto che A._______ non ha commesso unicamente infrazioni alla legislazione in materia di sostanze stupefacenti, al contrario egli si è altresì macchiato di violazioni dell'allora in vigore LDDS e della LStr (cfr. la condanna da parte del Ministero pubblico del Cantone Ticino del 3 dicembre 2008), e in Germania di atti contro le forze dell'ordine (cfr. condanne del 1° ottobre 1997 e del 20 aprile 1998 per resistenza a pubblico ufficiale).</w:t>
      </w:r>
    </w:p>
    <w:p>
      <w:r>
        <w:rPr>
          <w:b/>
        </w:rPr>
        <w:t>E. 5.5</w:t>
      </w:r>
    </w:p>
    <w:p>
      <w:r>
        <w:t>Ne discende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6.1</w:t>
      </w:r>
    </w:p>
    <w:p>
      <w:r>
        <w:t>Occorre ora stabilire se il divieto d'entrata della durata di 4 anni, 11 mesi e 3 giorni pronunciato dalla SEM nei confronti dell'interessato sia conforme al principio di proporzionalità, e procedendo ad un apprezzamento degli interessi privati e pubblici in causa, valutare se sia adeguato alle circostanze del caso di specie.</w:t>
      </w:r>
    </w:p>
    <w:p>
      <w:r>
        <w:rPr>
          <w:b/>
        </w:rPr>
        <w:t>E. 6.2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6.3</w:t>
      </w:r>
    </w:p>
    <w:p>
      <w:r>
        <w:t>Quo all'interesse pubblico all'allontanamento del ricorrente dal territorio elvetico, si è già detto ai considerandi precedenti.</w:t>
      </w:r>
    </w:p>
    <w:p>
      <w:r>
        <w:rPr>
          <w:b/>
        </w:rPr>
        <w:t>E. 6.4</w:t>
      </w:r>
    </w:p>
    <w:p>
      <w:r>
        <w:t>In merito agli interessi privati, il ricorrente si è richiamato principalmente all'art. 8 CEDU, il quale garantisce il diritto al rispetto della vita privata e familiare, sottolineando che la decisione dell'autorità inferiore comporterebbe l'impossibilità di sviluppare il rapporto stretto e duraturo con la figlia, cittadina elvetica residente in Ticino.</w:t>
      </w:r>
    </w:p>
    <w:p>
      <w:r>
        <w:rPr>
          <w:b/>
        </w:rPr>
        <w:t>E. 6.5</w:t>
      </w:r>
    </w:p>
    <w:p>
      <w:r>
        <w:t>Come detto, l'art. 8 CEDU tutela la vita privata e familiare delle persone. Questa disposizione non garantisce tuttavia il diritto ad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6.6</w:t>
      </w:r>
    </w:p>
    <w:p>
      <w:r>
        <w:t>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w:t>
      </w:r>
    </w:p>
    <w:p>
      <w:r>
        <w:rPr>
          <w:b/>
        </w:rPr>
        <w:t>E. 6.7</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6.8</w:t>
      </w:r>
    </w:p>
    <w:p>
      <w:r>
        <w:t>L'interessato si è prevalso del rapporto con la figlia C._______, nata il (...), domiciliata nel Canton Ticino presso una famiglia affidataria. Dagli atti di causa emerge infatti che il ricorrente è l'unico titolare dell'autorità parentale sulla minore, poiché la madre è posta al beneficio di una curatela generale ai sensi dell'art. 398 CC. Dalla risoluzione dell'ARP 6 del 24 giugno 2015 (cfr. allegato all'atto 18 dell'incarto TAF) si evince che i rapporti tra A._______ e la figlia si svolgono unicamente qualora l'interessato è autorizzato a recarsi in Ticino grazie ai salvacondotti concessi dall'autorità inferiore, e che questi incontri avvengono in maniera limitata presso l'istituto F._______ di E._______. La citata risoluzione dell'ARP 6 precisa inoltre che la medesima autorità ha incaricato il Servizio medico psicologico di G._______ di procedere ad una valutazione delle capacità genitoriali del ricorrente. Tuttavia agli atti non figurano ulteriori indicazioni in merito all'esito di detta indagine.</w:t>
      </w:r>
    </w:p>
    <w:p>
      <w:r>
        <w:rPr>
          <w:b/>
        </w:rPr>
        <w:t>E. 6.9</w:t>
      </w:r>
    </w:p>
    <w:p>
      <w:r>
        <w:t>Viste le testé citate modalità con cui il diritto di visita è esercitato, ossia in maniera limitata, non avendo il ricorrente la custodia della figlia, ed in funzione dei salvacondotti rilasciati dall'autorità inferiore, il Tribunale ritiene che i legami tra il ricorrente e C._______ non denotino un grado d'intensità sufficiente affinché egli possa prevalersi del diritto al rispetto della vita privata e familiare. Ne consegue che la decisione impugnata non viola l'art. 8 CEDU e A._______ non può fondare alcun diritto sulla base di tale disposizione. Al contrario le citate relazioni possono continuare in funzione dell'attuale assetto, in particolare esse possono essere intrattenute nonostante l'interessato si trovi all'estero, considerato come questa circostanza non implichi l'interruzione di ogni legame con la figlia, vista la possibilità di ottenere dei salvacondotti, rimanendo possibili contatti telefonici, epistolari e tramite messaggi elettronici nonché visite mediante brevi soggiorni.</w:t>
      </w:r>
    </w:p>
    <w:p>
      <w:r>
        <w:rPr>
          <w:b/>
        </w:rPr>
        <w:t>E. 6.10</w:t>
      </w:r>
    </w:p>
    <w:p>
      <w:r>
        <w:t>In occasione dell'ultimo scritto dell'11 maggio 2016, A._______ ha precisato che l'ARP 6 ha stabilito che le relazioni tra lo stesso e la figlia si svolgeranno con una cadenza di 4 visite annuali. A mente del Tribunale questa circostanza rafforza la convinzione espressa poc'anzi, ossia che i rapporti non certo stretti tra la figlia C._______ ed il padre non permettano a quest'ultimo di potersi prevalere dell'art. 8 CEDU.</w:t>
      </w:r>
    </w:p>
    <w:p>
      <w:r>
        <w:rPr>
          <w:b/>
        </w:rPr>
        <w:t>E. 6.11</w:t>
      </w:r>
    </w:p>
    <w:p>
      <w:r>
        <w:t>Occorre altresì sottolineare che il ricorrente non ha sollevato altri interessi privati che potrebbero indurre a pensare che il suo allontanamento dal territorio elvetico non sia giustificato e proporzionale. Il Tribunale costata al contrario che, ad eccezione dell'allegata padronanza della lingua italiana (cfr. atto ricorsuale del 20 ottobre 2014, pag. 3), non figurino agli atti elementi integrativi ai sensi dell'art. 96 cpv. 1 LStr che possano confutare il convincimento secondo cui l'interesse pubblico al mantenimento del divieto d'entrata nei confronti di A._______ prevalga sugli interessi privati di quest'ultimo. In limine e per quel che concerne il fatto che l'interessato si è richiamato al rapporto sentimentale che egli intratterrebbe con una donna in Svizzera (cfr. atto ricorsuale del 20 ottobre 2014, pag. 5), è d'uopo osservare come non vi sono elementi che esplicitino nel dettaglio la natura e l'intensità di detta relazione, la quale comunque, per i motivi di cui al consid. 7.6, non beneficia della protezione conferita dall'art. 8 CEDU e pertanto non è decisiva nella presente fattispecie.</w:t>
      </w:r>
    </w:p>
    <w:p>
      <w:r>
        <w:rPr>
          <w:b/>
        </w:rPr>
        <w:t>E. 6.12</w:t>
      </w:r>
    </w:p>
    <w:p>
      <w:r>
        <w:t>Ciò posto, dopo un'attenta ponderazione degli interessi pubblici e privati in causa, a mente di questo Tribunale l'interesse pubblico al mantenimento dell'ordine e della sicurezza pubblici prevale in casu sugli interessi privati allegati dal ricorrente.</w:t>
      </w:r>
    </w:p>
    <w:p>
      <w:r>
        <w:rPr>
          <w:b/>
        </w:rPr>
        <w:t>E. 7</w:t>
      </w:r>
    </w:p>
    <w:p>
      <w:r>
        <w:t>Per quanto concerne la segnalazione del divieto d'entrata nel SIS, che l'autorità inferiore aveva inizialmente effettuato, il Tribunale osserva che in data 8 dicembre 2014 la SEM ha proceduto a revocare tale iscrizione. Ne discende che su questo punto il ricorso è divenuto privo di oggetto e non occorre soffermarvisi ulteriormente.</w:t>
      </w:r>
    </w:p>
    <w:p>
      <w:r>
        <w:rPr>
          <w:b/>
        </w:rPr>
        <w:t>E. 8</w:t>
      </w:r>
    </w:p>
    <w:p>
      <w:r>
        <w:t>Dalle considerazioni che precedono, ne deriva che l'interesse pubblico all'allontanamento di A._______ dalla Svizzera prevale su quello privato di quest'ultimo ad entrarvi. Di conseguenza, da una corretta valutazione degli interessi pubblici e privati in gioco, emerge che il divieto d'entrata di 4 anni, 11 mesi e 3 giorni è adeguato alle circostanze del caso concreto.</w:t>
      </w:r>
    </w:p>
    <w:p>
      <w:r>
        <w:rPr>
          <w:b/>
        </w:rPr>
        <w:t>E. 9</w:t>
      </w:r>
    </w:p>
    <w:p>
      <w:r>
        <w:t>Ne discende che la SEM con la decisione impugnata non ha violato il diritto federale, né abusato del suo potere d'apprezzamento; l'autorità di prime cure non ha in definitiva accertato in modo inesatto o incompleto i fatti giuridicamente rilevanti e la decisione non è inadeguata (art. 49 PA). Per questi motivi il ricorso va respinto.</w:t>
      </w:r>
    </w:p>
    <w:p>
      <w:r>
        <w:rPr>
          <w:b/>
        </w:rPr>
        <w:t>E. 10</w:t>
      </w:r>
    </w:p>
    <w:p>
      <w:r>
        <w:t>Le spese giudiziarie di fr. 1'200.-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Visto l'esito della procedura, non sono assegnate spese ripetibili.</w:t>
      </w:r>
    </w:p>
    <w:p>
      <w:r>
        <w:rPr>
          <w:b/>
        </w:rPr>
        <w:t>E. 12</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