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C-6048/2013 vom 11. Januar 2016</w:t>
      </w:r>
    </w:p>
    <w:p>
      <w:r>
        <w:t>Bundesverwaltungsgericht, 2016-01-11, FR</w:t>
      </w:r>
    </w:p>
    <w:p>
      <w:r>
        <w:rPr>
          <w:b/>
        </w:rPr>
        <w:t xml:space="preserve">Quelle: </w:t>
      </w:r>
      <w:r>
        <w:t>https://mcp.opencaselaw.ch/entscheid/bvger_C-6048_2013</w:t>
      </w:r>
    </w:p>
    <w:p>
      <w:r>
        <w:t>FR: TAF C-6048/2013 du 11 janvier 2016</w:t>
      </w:r>
    </w:p>
    <w:p>
      <w:r>
        <w:t>IT: TAF C-6048/2013 del 11 gennaio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2.1</w:t>
      </w:r>
    </w:p>
    <w:p>
      <w:r>
        <w:t>Le recourant est ressortissant espagnol domicilié en Espagne. 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2.4</w:t>
      </w:r>
    </w:p>
    <w:p>
      <w:r>
        <w:t>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[CE] n° 987/2009).</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En vertu de l'art. 29 al. 1 LAI le droit à la rente prend naissance au plus tôt à l'échéance d'une période de six mois à compter de la date à laquelle l'assuré a fait valoir son droit aux prestations conformément à l'art. 29 al. 1 LPGA. En l'espèce, le Tribunal peut se limiter à examiner si le recourant remplissait les conditions d'octroi d'une rente depuis le 1er février 2013 (art. 29 al. 1 LAI, cf. la demande déposée le 1er août 2012 [pce 1 p. 8]) jusqu'au 25 septembre 2013, date de la décision attaquée marquant la limite dans le temps du pouvoir d'examen de l'autorité de recours (ATF 129 V 1 consid. 1.2 et les réf.).</w:t>
      </w:r>
    </w:p>
    <w:p>
      <w:r>
        <w:rPr>
          <w:b/>
        </w:rPr>
        <w:t>E. 3.2</w:t>
      </w:r>
    </w:p>
    <w:p>
      <w:r>
        <w:t>La procédure dans le domaine des assurances sociales fait prévaloir la maxime inquisitoriale (art. 43 LPGA). Ainsi, l'autorité prend d'office les mesures d'instruction nécessaires et recueille les renseignements dont elle a besoin, définit les faits déterminants et les preuves nécessaires dont elle ordonne l'apport et qu'elle apprécie d'office sans être liée par les conclusions des parties (ATF 139 V 349; ATF 136 V 376 consis. 4.1; ATF 132 V 105 consid. 5.2.8; Frésard-Fellay/Kahil-Wolff/Perrenoud, Droit suisse de la sécurité sociale II, 2015 p. 499); elle ne tient pour existants que les faits qui sont prouvés, cas échéant au degré de la vraisemblance prépondérante (ATF 139 V 176 consid. 5.2), enfin elle applique le droit d'office. Les parties ont le devoir de collaborer à l'instruction (art. 13 PA, 43 LPGA). 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4</w:t>
      </w:r>
    </w:p>
    <w:p>
      <w:r>
        <w:t>L'objet de la contestation est le refus du droit à une rente d'invalidité au motif que l'assuré ne présentait pas d'invalidité au sens de la loi.</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CE 883/2004).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2.2), la restriction prévue à l'art.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et résidence (art. 4 du règlement 883/04).</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en dernier lieu en Espagne jusqu'en octobre 2008 comme plombier puis a été au chômage jusqu'en décembre 2010. Ses troubles de santé à l'origine de la demande de prestations AI ont débuté en avril 2010.</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cf. Michel Valterio, Droit de l'assurance-vieillesse et survivants [LAVS] et de l'assurance-invalidité [LAI], 2011, n° 2060 ss).</w:t>
      </w:r>
    </w:p>
    <w:p>
      <w:r>
        <w:rPr>
          <w:b/>
        </w:rPr>
        <w:t>E. 7.3</w:t>
      </w:r>
    </w:p>
    <w:p>
      <w:r>
        <w:t>Dans le cadre de la méthode générale et également dans le cadre d'autres méthodes, notamment pour les personnes sans activité lucrative ou ayant exercé une activité lucrative à temps partiel,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les données fournies par les médecins constituent un élément utile pour apprécier les conséquences de l'atteinte à la santé et pour déterminer quels travaux on peut encore raisonnablement exiger de l'assuré (ATF 125 V 258 consid. 4; ATF 115 V 133 consid. 2; ATF 114 V 310 consid. 3c; ATF 105 V 156 consid. 1).</w:t>
      </w:r>
    </w:p>
    <w:p>
      <w:r>
        <w:rPr>
          <w:b/>
        </w:rPr>
        <w:t>E. 8.1</w:t>
      </w:r>
    </w:p>
    <w:p>
      <w:r>
        <w:t>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des SMR doivent disposer des qualifications personnelles et spécialisées à leurs tâches.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Fondé sur les données de son service médical l'office AI sera en mesure de déterminer les prestations à allouer, lesquelles doivent reposer sur des rapports médicaux satisfaisant aux exigences d'une qualité probante (arrêt du TF 9C_1063/2009 du 22 janvier 2010 consid. 4.2.3). Pour effectuer leurs tâches les SMR peuvent se déterminer sur la base de l'ensemble du dossier collecté (art. 49 al. 1 et 3 RAI), examiner les assurés au sein du SMR (art. 49 al. 2 RAI) ou confier à un médecin expert indépendant la charge d'une expertise (art. 44 LPGA).</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Au demeurant, l'élément déterminant pour la valeur probante n'est ni l'origine du moyen de preuve ni sa désignation comme rapport ou comme expertise, mais bel et bien son contenu (ATF 125 V 351 consid. 3). En règle générale, l'administration ne pourra pas se départir d'un rapport médical lorsqu'il est établi par des spécialistes reconnus sur la base d'observations approfondies et d'investigations complètes et en pleine connaissance du dossier et lorsqu'aucun indice concret ne permet de douter de son bien-fondé (voir spéc. Valterio, op. cit., n° 2891 ss). La valeur probante d'une expertise est liée à la condition que l'expert dispose de la formation nécessaire, de compétences professionnelles dans le domaine d'investigation (cf. Valterio, op. cit. n° 2912; arrêts du TF 9C_270/2008 du 12 août 2008 consid. 3.3, 9C_53/2009 du 29 mai 2009 consid. 4.2 et les références).</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Les rapports médicaux établis sur la personne par les SMR selon l'art. 49 al. 2 RAI peuvent avoir valeur d'expertise médicale s'ils répondent aux exigences matérielles et formelles requises par la jurisprudence et ont même valeur probante que d'autres expertises (ATF 135 V 254 consid. 3.3 et 3.4; arrêt du TF 9C_323/2009 consid. 4.3.2 et les références, 9C-600/2010 du 21 janvier 2011 consid. 3).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TF 8C_588 /2015 du 17 décembre 2015 consid. 2;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TF U 365/06 du 26 janvier 2007 consid. 4.1).</w:t>
      </w:r>
    </w:p>
    <w:p>
      <w:r>
        <w:rPr>
          <w:b/>
        </w:rPr>
        <w:t>E. 8.4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 /2007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arrêts du TF 9C_25/2015 du 1er mai 2015 consid. 4.1 s.; 9C_165/2015 du 12 novembre 2015 consid. 4.3; Valterio, op. cit. n° 2920 ss). Des rapports SMR sur dossier,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(cf. les arrêts du TF 9C_335/2015 du 1er septembre 2015; 8C_653/2009 du 28 octobre 2009 consid. 5.2; 8C_239/2008 du 17 décembre 2009 consid. 7.2; cf. également arrêt du TF 9C_462/2014 du 16 septembre 2015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arrêts du TF 9C_20/2015 du 8 juin 2015 consid. 3.3, 9C_25/2015 du 1er mai 2015 consid. 4.1; Valterio, op. cit. n° 2920).</w:t>
      </w:r>
    </w:p>
    <w:p>
      <w:r>
        <w:rPr>
          <w:b/>
        </w:rPr>
        <w:t>E. 8.5</w:t>
      </w:r>
    </w:p>
    <w:p>
      <w:r>
        <w:t>Si les pièces au dossier ne permettent pas de trancher les questions contestées, les rapports sur dossier du SMR au sens de l'art. 49 al. 1 et 3 RAI ne peuvent généralement pas constituer une évaluation finale, mais doivent donner lieu à une instruction complémentaire (arrêts du TF 9C_58/2011 du 25 mars 2011 consid. 3.3; 9C_323/2009 du 14 juillet 2009 consid. 4.2 et 4.3 et 9C_581/2007 du 14 juillet 2008 consid. 3.2; Valterio, op. cit. n° 2920).</w:t>
      </w:r>
    </w:p>
    <w:p>
      <w:r>
        <w:rPr>
          <w:b/>
        </w:rPr>
        <w:t>E. 9.1</w:t>
      </w:r>
    </w:p>
    <w:p>
      <w:r>
        <w:t>Sur le plan médical, il appert du dossier que le recourant a été en incapacité de travail depuis le 6 avril 2010 (il était alors au chômage) en raison d'une symptomatologie compatible avec une neuropathie aigüe et les critères d'un syndrome de Guillain-Barré. Dans un rapport du 16 juin 2010 la Dresse C._______ a relevé les bons résultats d'un traitement de trois semaines ayant permis une récupération partielle des déficits (neuro-musculaires) et qu'il demeurait une perte minime de force des membres inférieurs et une paresthésie dans les deux mains. Un rapport neurologique de contrôle du 3 août 2010 a confirmé un status de Guillain-Barré en résorption avec conservation de la force et de la sensibilité, mais a relevé un engourdissement des pieds et des paresthésies aux 4ème et 5ème doigts de la main droite. Un rapport neurophysiologique (ENG-EMG) du Dr E._______ du 7 décembre 2010 releva le diagnostic suspecté de polyradiculoneuropathie démyélinisante avec dégénération axonale secondaire au niveau des membres inférieurs et supérieurs d'intensité sévère, indiquant qu'il n'y avait pas de signe actuel d'activité dénervative aigüe de la musculature des membres supérieurs et inférieurs probablement vu le peu de temps passé. Dans un rapport du 27 décembre 2010 de la sécurité sociale espagnole il fut retenu un status général sans particularité, une légère instabilité à la marche et le diagnostic de syndrome de Guillain-Barré en phase actuel de résorption après six mois avec une très discrète diminution de force à droite, sans traitement actuel de réhabilitation. Le rapport indiqua des limitations actuelles à la station debout prolongée, à la marche prolongée, au travail modéré et aux positions en porte-à-faux et prévoyait une révision dans un an pour le motif d'une amélioration prévisible. Le dossier ne comprend pas de documents médicaux relatifs aux années 2011 et 2012.</w:t>
      </w:r>
    </w:p>
    <w:p>
      <w:r>
        <w:rPr>
          <w:b/>
        </w:rPr>
        <w:t>E. 9.2</w:t>
      </w:r>
    </w:p>
    <w:p>
      <w:r>
        <w:t>Suite au dépôt de la demande de prestations AI le 1er août 2012, divers rapports médicaux ont été établis d'avril à août 2013. Dans un rapport du 23 avril 2013 le Dr F._______, neurologue, conclut à une récupération du syndrome de Guillain-Barré ayant relevé malgré des plaintes de douleurs une force musculaire paraissant conservée et un trophisme musculaire conservé. Ce rapport est en adéquation avec le rapport E 213 de la Sécurité sociale espagnole du 13 mai 2013 qui rapporte les atteintes connues et qui fait état de douleurs à la colonne lombaire à la pression sans limitations objectives, de membres supérieurs sans limitations, de douleurs aux membres inférieurs par irradiation de lombosciatalgies, mais à ce niveau d'une perte de force douteuse et de symptômes sensitifs subjectifs. Le rapport pose le diagnostic de syndrome de Guillain-Barré récupéré, de lombosciatalgies sans évidence d'affectation radiculaire. Il indique une évolution incertaine du status. Il retient une atteinte à la santé légère avec possibilité de travail régulier de moyenne exigence physique sans port et soulèvement fréquent de charges, sans devoir se courber, sans utilisation de rampes, escaliers, échelles avec position corporelles variées, l'activité antérieure ne pouvant plus être exercée, une activité adaptée pouvant par contre l'être (pourcentage non précisé). Dans un dernier rapport du Dr H._______, neurologue, du 21 août 2013, il est énoncé la récupération des déficits moteurs mais également un engourdissement des pieds, une paresthésie des 4ème et 5ème doigts de la main droite ainsi que des douleurs intenses aux membres inférieurs à la marche faisant actuellement l'objet d'investigations médicales. Il sied toutefois de relever que ce rapport ne s'inscrit pas dans un suivi thérapeutique et n'est pas corroboré par un fondement, notamment le rapport radiologique du 12 juillet 2013 (IRM lombaire) n'a fait état que d'une ectasie durale et d'une petite hernie L5-S1 sans signe actuel de répercussion nerveuse; il mentionne des atteintes en examen.</w:t>
      </w:r>
    </w:p>
    <w:p>
      <w:r>
        <w:rPr>
          <w:b/>
        </w:rPr>
        <w:t>E. 9.3</w:t>
      </w:r>
    </w:p>
    <w:p>
      <w:r>
        <w:t>Dans ses rapports sur dossier des 3 juin et 18 septembre 2013 le Dr G._______ de l'OAIE, spécialisé en médecine interne générale, retint que l'assuré avait été atteint dans sa santé notamment pendant quelque trois mois jusqu'en août 2010 et qu'il était en mesure de reprendre son ancienne activité; il indiqua néanmoins des activités de substitution exigibles à titre exemplatif d'intensité moyenne. Le Tribunal de céans ne peut partager l'avis médico-théorique du Dr G._______ selon lequel le recourant pourrait reprendre son activité de plombier, activité qui selon les travaux exécutés, souvent en position accroupie et en porte-à-faux, peut solliciter fortement le rachis. Cet avis sur dossier est en contradiction avec l'appréciation médicale du rapport E 213 du 13 mai 2013 indiquant de façon étayée une capacité de travail limitée à une activité adaptée et est également en contradiction avec le rapport médical du Dr H._______ du 21 août 2013 faisant état notamment de douleurs intenses aux membres inférieurs à la marche, atteintes en examen. De plus le médecin de l'OAIE n'a pas motivé son appréciation divergente d'une pleine capacité de travail dans l'activité antérieure malgré les exigences claires de la jurisprudence (cf. l'arrêt du TF 9C_25/2015 consid. 4.1 s. et supra le consid. 8.4). Si le médecin de l'OAIE entendait conclure à une pleine capacité de travail dans la dernière activité, laquelle sollicite manifestement le rachis et les membres inférieurs dans la mesure de travaux le plus souvent accroupis et à genoux, il lui appartenait d'étayer minutieusement et objectivement son appréciation différente, peu convaincante sans établir les raisons pour lesquelles l'appréciation divergente étayée du rapport E 213 du 13 mai 2013 suivie de celle du Dr H._______, neurologue, du 21 août 2013 ne permettant pas de conclure à une pleine capacité de travail dans la dernière activité, n'est pas suivie. Selon le rapport E 213 l'assuré ne devrait pas porter et soulever des charges fréquentes, ni faire usage de rampes, escaliers et échelles ainsi que d'avoir des positions en porte-à-faux, étant précisée une évolution incertaine du status.</w:t>
      </w:r>
    </w:p>
    <w:p>
      <w:r>
        <w:rPr>
          <w:b/>
        </w:rPr>
        <w:t>E. 9.4</w:t>
      </w:r>
    </w:p>
    <w:p>
      <w:r>
        <w:t>Comme on l'a vu les actes au dossier parlent en faveur d'une récupération du syndrome de Guillin-Barré plus ou moins complète concernant les déficits moteurs-fonctionnels. Par contre semblent cependant persister les déficits sensitifs de ce syndrome ainsi que d'importantes douleurs si on compare le rapport du Dr H._______ neurologue du 12 août 2013 avec les rapports du 3 août 2010 du service de neurologie de l'Hôpital D._______ et du 16 juin 2010 de Dresse C._______. Le Dr F._______, neurologue relève de plus dans son rapport du 3 juin 2013 que l'assuré a adopté des attitudes antalgiques pour la station débout et la marche. De plus, la question des douleurs indiquées dans les pieds à la marche n'avait pas encore fait l'objet d'un examen approfondi jusqu'au moment où la décision attaquée a été rendue. Il s'ensuit qu'on n'est pas en présence d'une situation médicale claire et non contestée qui permettait au SMR de se prononcer sur la capacité fonctionnelle et de travail sans examiner l'assuré, respectivement de clore le dossier sans ordonner un complément d'instruction. Le médecin SMR consulté n'était de surplus pas titulaire de la spécialisation déterminante, il aurait dû solliciter l'avis complémentaire d'un confrère spécialiste. Selon la jurisprudence, la qualification du médecin joue en effet un rôle déterminant pour juger du bien-fondé de son avis (cf. arrêt du TF 8C_83/2010 du 22 mars 2010 consid. 3.1; voir ég. l'arrêt du TAF C-2184/2013 du 21 janvier 2015 consid. 11.1). Il y a par ailleurs lieu de relever que le Dr G._______ du SMR ne pouvait se considérer dans une situation qui permettait de procéder selon le principe de l'appréciation anticipée des preuves (cf. l'arrêt du TF 9C-272/2011 du 6 décembre 2011 consid. 3.1 et les références), l'autorité inférieure a donc omis de procéder à des examens complémentaires ou d'en attendre le résultat. Il sied de rappeler qu'une instruction complémentaire doit être requise s'il subsiste des doutes, même minimes, quant au bien-fondé des rapports et expertises médicaux versés au dossier par l'assureur (ATF 135 V 465 consid. 4.4; ATF 122 V 157 consid. 1d; ATF 123 V 175 consid. 3d; ATF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w:t>
      </w:r>
    </w:p>
    <w:p>
      <w:r>
        <w:rPr>
          <w:b/>
        </w:rPr>
        <w:t>E. 9.5</w:t>
      </w:r>
    </w:p>
    <w:p>
      <w:r>
        <w:t>Au vu de ce qui précède il sied d'admettre le recours et de retourner le dossier à l'autorité inférieure (art. 61 PA; ATF 137 V 210 consid. 4.4.1.4) afin qu'elle finalise l'instruction du dossier et examine, suite aux résultats des examens annoncés par le Dr H._______, en attente au moment de la décision attaquée, si la situation médicale s'est clarifiée ou est restée mal établie et incomplète nécessitant un examen rhumatologique et neurologique précisant la capacité de travail de l'intéressé dans l'activité habituelle et dans une activité adaptée suivie d'une appréciation de la capacité fonctionnelle et de travail de l'assuré sous l'angle d'une évaluation économique de l'invalidité. Le renvoi est ainsi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w:t>
      </w:r>
    </w:p>
    <w:p>
      <w:r>
        <w:rPr>
          <w:b/>
        </w:rPr>
        <w:t>E. 10.1</w:t>
      </w:r>
    </w:p>
    <w:p>
      <w:r>
        <w:t>Vu l'issue de la procédure, il n'est pas perçu de frais de procédure. L'avance de frais de 400.- francs perçue en cours de procédure est restituée au recourant.</w:t>
      </w:r>
    </w:p>
    <w:p>
      <w:r>
        <w:rPr>
          <w:b/>
        </w:rPr>
        <w:t>E. 10.2</w:t>
      </w:r>
    </w:p>
    <w:p>
      <w:r>
        <w:t>Le recourant ayant agi sans s'être fait représenter par un mandataire professionnel et n'ayant pas eu des frais indispensables relativement élevés, il ne lui est pas alloué de dépens (art. 64 al. 1 PA a contrario).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