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C-6043/2010 vom 2. Dezember 2011</w:t>
      </w:r>
    </w:p>
    <w:p>
      <w:r>
        <w:t>Bundesverwaltungsgericht, 2011-12-02, FR</w:t>
      </w:r>
    </w:p>
    <w:p>
      <w:r>
        <w:rPr>
          <w:b/>
        </w:rPr>
        <w:t xml:space="preserve">Quelle: </w:t>
      </w:r>
      <w:r>
        <w:t>https://mcp.opencaselaw.ch/entscheid/bvger_C-6043_2010</w:t>
      </w:r>
    </w:p>
    <w:p>
      <w:r>
        <w:t>FR: TAF C-6043/2010 du 2 décembre 2011</w:t>
      </w:r>
    </w:p>
    <w:p>
      <w:r>
        <w:t>IT: TAF C-6043/2010 del 2 dicembre 2011</w:t>
      </w:r>
    </w:p>
    <w:p>
      <w:pPr>
        <w:pStyle w:val="Heading2"/>
      </w:pPr>
      <w:r>
        <w:t>Regeste</w:t>
      </w:r>
    </w:p>
    <w:p>
      <w:r>
        <w:t>Droit à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w:t>
      </w:r>
    </w:p>
    <w:p>
      <w:r>
        <w:rPr>
          <w:b/>
        </w:rPr>
        <w:t>E. 1.2</w:t>
      </w:r>
    </w:p>
    <w:p>
      <w:r>
        <w:t>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 invalidité suisse est déterminé exclusivement d'après le droit suisse (ATF 130 V 257 consid. 2.4).</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En ce qui concerne les faits déterminants, selon la jurisprudence, le Tribunal de céans doit se limiter à examiner la situation de fait existant jusqu'à la date de la décision attaquée (ATF 130 V 445 consid. 1.2).</w:t>
      </w:r>
    </w:p>
    <w:p>
      <w:r>
        <w:rPr>
          <w:b/>
        </w:rPr>
        <w:t>E. 5.1</w:t>
      </w:r>
    </w:p>
    <w:p>
      <w:r>
        <w:t>Le recourant a présenté une troisième demande de rente le 2 novembre 2009, après qu'une deuxième demande de rente ait été rejetée par décision sur opposition du 12 novembre 2007, confirmée par arrêt du Tribunal de céans le 1er septembre 2009, entré en force et qu'une précédente demande ait été rejetée par décision sur opposition du 18 mai 2004, confirmée par jugement de la CFR du 16 décembre 2004, également entré en force.</w:t>
      </w:r>
    </w:p>
    <w:p>
      <w:r>
        <w:rPr>
          <w:b/>
        </w:rPr>
        <w:t>E. 5.2</w:t>
      </w:r>
    </w:p>
    <w:p>
      <w:r>
        <w:t>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5.3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5.4</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114 consid. 2b; arrêt du Tribunal fédéral I 597/05 du 8 janvier 2007). En l'occurrence, l'autorité inférieure n'est pas entrée en matière sur la nouvelle demande.</w:t>
      </w:r>
    </w:p>
    <w:p>
      <w:r>
        <w:rPr>
          <w:b/>
        </w:rPr>
        <w:t>E. 5.5</w:t>
      </w:r>
    </w:p>
    <w:p>
      <w:r>
        <w:t>Il faut dès lors examiner la question de savoir si c'est à juste titre que l'administration a rendu une décision de refus d'entrer en matière.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w:t>
      </w:r>
    </w:p>
    <w:p>
      <w:r>
        <w:rPr>
          <w:b/>
        </w:rPr>
        <w:t>E. 6.1</w:t>
      </w:r>
    </w:p>
    <w:p>
      <w:r>
        <w:t>En l'espèce, il y a lieu de constater préliminairement qu'entre la décision du 12 novembre 2007 qui rejetait, après examen sur le fond, la deuxième demande de prestations et le 21 juillet 2010, date de la décision attaquée, près de trois ans se sont écoulés.</w:t>
      </w:r>
    </w:p>
    <w:p>
      <w:r>
        <w:rPr>
          <w:b/>
        </w:rPr>
        <w:t>E. 6.2</w:t>
      </w:r>
    </w:p>
    <w:p>
      <w:r>
        <w:t>Lors de l'expertise effectuée par le ZMB le 23 septembre 2003, les médecins étaient arrivés à la conclusion que le recourant n'avait jamais subi d'incapacité de travail justifiant le droit à une prestation. Ils avaient retenu que le recourant souffrait toujours de douleurs résiduelles persistantes dans la région du thorax qui ne devaient toutefois pas l'empêcher de reprendre son activité d'ouvrier agricole ou de palefrenier. A leur avis, la blessure au thorax devait être considérée guérie depuis début 1998. Du point de vue psychique, les médecins n'avaient pas diagnostiqué de maladie mais seulement une personnalité simple avec difficultés dans l'assimilation de la douleur. Le médecin OAIE s'était rallié à ces résultats.</w:t>
      </w:r>
    </w:p>
    <w:p>
      <w:r>
        <w:rPr>
          <w:b/>
        </w:rPr>
        <w:t>E. 6.3</w:t>
      </w:r>
    </w:p>
    <w:p>
      <w:r>
        <w:t>Lors de la procédure concernant la deuxième demande du 7 mars 2005, l'OAIE et son service médical avaient relevé en substance le diagnostic d'un status post traumatique avec des limitations fonctionnelles peu objectivables. Le médecin de l'OAIE avait indiqué dans ses diverses prises de position que l'intéressé présentait après sa convalescence suite au traumatisme subi en 1997 des douleurs thoraciques, ce qui correspondait à la symptomatologie constatée lors de la réalisation de l'expertise pluridisciplinaire par le ZMB et lors de l'établissement des rapports E 213 les plus récents. En particulier, le rapport E 213 du 23 mai 2007 confirmait que la situation médicale était analogue à celle qui prévalait lors de l'examen précédent et que le recourant n'était pas incapable d'exercer son ancienne activité. Le médecin de l'OAIE avait dès lors conclu que la nouvelle documentation médicale avancée par le recourant n'apportait aucun élément nouveau parlant en faveur d'une détérioration de l'état de santé. Des activités légères à moyennes adaptées aux limitations de A._______ avaient donc été considérées exigibles. De plus, comme l'avait justement relevé l'OAIE, les affections répertoriées dans les documents produits correspondaient à celles qui avaient déjà été diagnostiquées dans le cadre de la précédente demande de prestations, ce qui excluait une détérioration manifeste de son état de santé.</w:t>
      </w:r>
    </w:p>
    <w:p>
      <w:r>
        <w:rPr>
          <w:b/>
        </w:rPr>
        <w:t>E. 6.4</w:t>
      </w:r>
    </w:p>
    <w:p>
      <w:r>
        <w:t>Dans le cadre de la troisième demande de prestations, l'assuré a fait valoir une dégradation de son état de santé. Or, les conclusions du rapport E 213 au dossier, daté du 18 mars 2010, se recoupent avec celles des précédents rapports E 213 du 20 juillet 2005 et du 23 mai 2007, et retiennent une pleine capacité de travail dans son activité habituelle dans l'agriculture, sans faire état de nouvelles pathologies. Le recourant quant à lui se réfère aux différents rapports du Dr J._______ (du 30 octobre 2009 et 15 juin 2010) qui conclut à une incapacité de travail de plus de 66,66 % dans toute activité et dresse une liste de pathologies physiques et psychiatriques dont seraient atteint l'assuré. Or, du point de vue physique, dans le rapport E 213 n'est mentionnée aucune limitation fonctionnelle, exceptée une légère diminution de la mobilité au niveau cervical, sans signes radiculaires. Il n'y a donc aucune atteinte fonctionnelle objective. Comme mis en évidence par le médecin de l'OAIE, les cervicobrachialgies relevées dans l'EMG du 18 mars 2010, sans répercussion physique significative, ne peuvent générer une incapacité de travail générale. Du point de vue psychique, aucune pièce au dossier ne permet de retenir que le recourant ait été suivi par un psychiatre ou qu'il ait eu recours à un traitement médicamenteux, ce qui est confirmé par le E 213 du 18 mars 2010 : l'état mental étant décrit comme "normal".</w:t>
      </w:r>
    </w:p>
    <w:p>
      <w:r>
        <w:rPr>
          <w:b/>
        </w:rPr>
        <w:t>E. 7.1</w:t>
      </w:r>
    </w:p>
    <w:p>
      <w:r>
        <w:t>Il appert ainsi que les affections répertoriées dans les documents produits en procédure de recours correspondent à celles qui ont déjà été diagnostiquées dans le cadre des précédentes procédures et que les autres pathologies décrites n'ont aucune influence sur la capacité de travail du recourant. Ainsi, le Cour de céans peut se rallier à l'avis de l'OAIE et conclure que les documents produits par le recourant ne rendent pas plausible une aggravation de son état de santé par rapport à la décision du 12 novembre 2007. La décision de non entrée en matière de l'OAIE doit par conséquent être confirmée et le recours rejeté.</w:t>
      </w:r>
    </w:p>
    <w:p>
      <w:r>
        <w:rPr>
          <w:b/>
        </w:rPr>
        <w:t>E. 8</w:t>
      </w:r>
    </w:p>
    <w:p>
      <w:r>
        <w:t>Dans ses écritures le recourant fait valoir que le refus de procéder à une nouvelle expertise revient à violer son droit d'être entendu. L'argument ne peut être retenu vu que les rapports médicaux présentés par l'assuré ne permettent pas d'inférer de manière plausible que l'invalidité de celui-ci se soit modifiée de manière à influencer le droit aux prestations. Or, si l'administration et le juge, se fondant sur une appréciation consciencieuse des preuves (cf. ATF 125 V 351 consid. 3a p. 352) sont convaincus que certains faits présentent un degré de vraisemblance prépondérante et que d'autres mesures probatoires ne pourraient plus modifier cette appréciation, ils peuvent renoncer à accomplir certains actes d'instruction sans que cela n'entraîne une violation du droit d'être entendu (sur l'appréciation anticipée de preuve : arrêt du TF 9C_986/2008 du 29 mai 2009 consid. 3 et les références citées). Par conséquent, le recours doit être rejeté et la décision attaquée confirmée.</w:t>
      </w:r>
    </w:p>
    <w:p>
      <w:r>
        <w:rPr>
          <w:b/>
        </w:rPr>
        <w:t>E. 9.1</w:t>
      </w:r>
    </w:p>
    <w:p>
      <w:r>
        <w:t>Vu l'issue de la cause, les frais de procédure, fixés par le Tribunal de céans à Fr. 400.--, sont mis à la charge du recourant débouté (art. 69 al. 2 LAI et art. 3 let. b règlement du 21 février 2008 concernant les frais, dépens et indemnités fixés par le Tribunal administratif fédéral [FITAF, RS 173.320.2]). Ce montant est compensé par l'avance de frais du même montant déjà versée.</w:t>
      </w:r>
    </w:p>
    <w:p>
      <w:r>
        <w:rPr>
          <w:b/>
        </w:rPr>
        <w:t>E. 9.2</w:t>
      </w:r>
    </w:p>
    <w:p>
      <w:r>
        <w:t>Il n'est pas alloué de dépens (art. 64 al. 1 PA a contrario en relation avec les art. 7 ss FITAF). (dispositif à la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