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C-603/2006 vom 27. Juni 2007</w:t>
      </w:r>
    </w:p>
    <w:p>
      <w:r>
        <w:t>Bundesverwaltungsgericht, 2007-06-27, DE</w:t>
      </w:r>
    </w:p>
    <w:p>
      <w:r>
        <w:rPr>
          <w:b/>
        </w:rPr>
        <w:t xml:space="preserve">Quelle: </w:t>
      </w:r>
      <w:r>
        <w:t>https://mcp.opencaselaw.ch/entscheid/bvger_C-603_2006</w:t>
      </w:r>
    </w:p>
    <w:p>
      <w:r>
        <w:t>FR: TAF C-603/2006 du 27 juin 2007</w:t>
      </w:r>
    </w:p>
    <w:p>
      <w:r>
        <w:t>IT: TAF C-603/2006 del 27 giugno 2007</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BFM betreffend Ausdehnung der kantonalen Wegweisung (Art. 12 Abs. 3 und 20 Abs. 1 des Bundesgesetzes vom 26. März 1931 über Aufenthalt und Niederlassung der Ausländer [ANAG, SR 142.20]).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Als Verfügungsadressat ist der Beschwerdeführer zur Anfechtung der vorinstanzlichen Verfügung legitimiert (Art. 48 Abs. 1 VwVG). Auf die frist- und formgerecht eingereichte Beschwerde ist deshalb einzutreten (Art. 49 ff. VwVG).</w:t>
      </w:r>
    </w:p>
    <w:p>
      <w:r>
        <w:rPr>
          <w:b/>
        </w:rPr>
        <w:t>E. 2.1</w:t>
      </w:r>
    </w:p>
    <w:p>
      <w:r>
        <w:t>Gemäss Art. 12 Abs. 3 ANAG kann die eidgenössische Behörde die Pflicht zur Ausreise aus einem Kanton auf das ganze Gebiet der Schweiz ausdehnen. Art. 17 Abs. 2 der Vollziehungsverordnung vom 1. März 1949 zum Bundesgesetz über Aufenthalt und Niederlassung der Ausländer (ANAV; SR 142.201) präzisiert diese Bestimmung, indem die Ausdehnung der Wegweisung zur Regel erklärt wird, von der nur abzuweichen ist, wenn der Ausländerin oder dem Ausländer aus besonderen Gründen Gelegenheit gegeben werden soll, in einem anderen Kanton um Bewilligung nachzusuchen. Die Ausdehnung ist somit nur noch der konsequente Vollzug eines rechtskräftigen kantonalen Entscheides und wird daher nur in seltenen Ausnahmefällen unterbleiben (vgl. Urteil des Bundesverwaltungsgerichtes C-598/2006 vom 16. April 2007 E. 3 und 4, ferner Verwaltungspraxis der Bundesbehörden [VPB] 62.52 E. 9 mit Hinweisen).</w:t>
      </w:r>
    </w:p>
    <w:p>
      <w:r>
        <w:rPr>
          <w:b/>
        </w:rPr>
        <w:t>E. 2.2</w:t>
      </w:r>
    </w:p>
    <w:p>
      <w:r>
        <w:t>Zum Verständnis der Regelung ist vorweg auf Art. 1a ANAG hinzuweisen. Danach ist eine ausländische Person dann zur Anwesenheit in der Schweiz berechtigt, wenn sie über eine Aufenthalts- oder Niederlassungsbewilligung verfügt oder nach dem Gesetz keiner solchen bedarf (zum Letzteren vgl. Art. 2 ANAG und Art. 1 ANAV). Besitzt sie keine Bewilligung und kann sie sich auch nicht auf ein gesetzliches Bleiberecht berufen, so ist ihr Aufenthalt illegal und sie ist von Gesetzes wegen verpflichtet, die Schweiz zu verlassen (vgl. Art. 18 i.V.m. Art. 12 ANAG, ferner den Tatbestand des illegalen Aufenthaltes im Sinne von Art. 23 Abs. 1 ANAG, sowie: Nicolas Wisard, Les renvois et leur exécution en droit des étrangers et en droit d'asile, Basel/Frankfurt am Main 1997, S. 102). Die durch den zuständigen Kanton verfügte Wegweisung ist vor diesem Hintergrund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Basel/Genf/München 2002, Rz. 6.53 mit Hinweisen) und zugleich dessen logische und nicht in Frage zu stellende Konsequenz (Art. 12 Abs. 3 Satz 2 ANAG verleiht der Behörde kein Entschliessungsermessen; vgl. dazu Wisard, a.a.O., S. 130). Die Wegweisung kann in dieser Konstellation namentlich nicht dadurch in Frage gestellt werden, dass die Ausreisepflicht thematisiert wird, beispielsweise indem geltend gemacht wird, es bestehe ein überwiegendes privates Interesse am weiteren Verbleib in der Schweiz. Derartige Vorbringen sind im kantonalen Bewilligungsverfahren oder - nach Verweigerung einer Bewilligung - in dem dafür vorgesehene Rechtsmittelverfahren geltend zu machen; vorbehalten bleiben Vollzugshindernisse im Sinne von Art. 14a ANAG.</w:t>
      </w:r>
    </w:p>
    <w:p>
      <w:r>
        <w:rPr>
          <w:b/>
        </w:rPr>
        <w:t>E. 2.3</w:t>
      </w:r>
    </w:p>
    <w:p>
      <w:r>
        <w:t>Das Gesagte gilt grundsätzlich auch für die ebenfalls exekutorisch wirkende Ausdehnungsverfügung. Wurde die ausländische Person im Anschluss an einen negativen kantonalen Bewilligungsentscheid aus dem Kanton weggewiesen und hat sie als Folge davon kein Recht auf Aufenthalt in der Schweiz (Art. 1a ANAG), kann sie die Ausreiseverpflichtung selbst nicht zum Thema des Verfahrens machen; vorbehalten bleiben auch hier Vollzugshindernisse im Sinne von Art. 14a ANAG. Es ist der Ausländerin oder dem Ausländer namentlich verwehrt, Interessen einzubringen, die auf den weiteren Verbleib in der Schweiz gerichtet sind, denn die Ausreiseverpflichtung ist die gesetzliche Folge des fehlenden Aufenthaltsrechts. Ein Aufenthaltsrecht, das notwendig wäre, um die Ausreisepflicht zu beseitigen, wird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(vgl. Art. 18 ANAG; vorbehalten bleibt das Asylrecht, das hier nicht von Bedeutung ist, sowie die vorläufige Aufnahme, zu Letzterer weiter hinten).</w:t>
      </w:r>
    </w:p>
    <w:p>
      <w:r>
        <w:rPr>
          <w:b/>
        </w:rPr>
        <w:t>E. 2.4</w:t>
      </w:r>
    </w:p>
    <w:p>
      <w:r>
        <w:t>Vor dem Hintergrund der geschilderten Kompetenzordnung ist auch die Regelung des Art. 17 Abs. 2 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Aufenthalts nichts ändert, und es auf der anderen Seite nicht angeht, einen rechtswidrigen Zustand in Kauf zu nehmen, wird Art. 17 Abs. 2 ANAV praxisgemäss in dem Sinne ausgelegt,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3</w:t>
      </w:r>
    </w:p>
    <w:p>
      <w:r>
        <w:t>Der Beschwerdeführer ist von einer rechtskräftigen kantonalen Wegweisung betroffen. Zudem bestehen keine Anhaltspunkte, dass das Migrationsamt des Kantons Zürich bereit wäre, dem Beschwerdeführer erneut eine Aufenthaltsbewilligung zu erteilen, zumal er - entgegen der Ausführungen in der Beschwerde - im heutigen Zeitpunkt nicht mehr mit seiner Ehegattin zusammenlebt. Es ist auch nicht ersichtlich, dass seitens eines Drittkantons die Bereitschaft bestehen würde, den Aufenthalt des Beschwerdeführers zu regeln. Es ist somit kein Spielraum vorhanden, vom Grundsatz der Ausdehnung der kantonalen Wegweisung auf das ganze Gebiet der Schweiz abzuweichen. Die Ausdehnung der kantonalen Wegweisung ist damit rechtens.</w:t>
      </w:r>
    </w:p>
    <w:p>
      <w:r>
        <w:rPr>
          <w:b/>
        </w:rPr>
        <w:t>E. 4</w:t>
      </w:r>
    </w:p>
    <w:p>
      <w:r>
        <w:t>Unabhängig von der Bestätigung der Ausdehnungsverfügung bleibt zu prüfen, ob Hinderungsgründe für den Vollzug der Wegweisung anzunehmen sind. Wenn der Vollzug der Wegweisung nicht möglich, nicht zulässig oder nicht zumutbar ist, verfügt das BFM die vorläufige Aufnahme. Der Vollzug ist nicht möglich, wenn die ausländische Person weder in den Herkunfts- oder in den Heimatstaat noch in einen Drittstaat verbracht werden kann. Er ist nicht zulässig, wenn völkerrechtliche Verpflichtungen der Schweiz - insbesondere jene der der Konvention vom 4. November 1950 zum Schutze der Menschenrechte und Grundfreiheiten (EMRK, SR 0.101) sowie des Abkommens vom 28. Juli 1951 über die Rechtsstellung der Flüchtlinge (FK, SR 0.142.30) - einer Weiterreise in den Heimat-, Herkunfts- oder Drittstaat entgegenstehen. Der Vollzug kann insbesondere nicht zumutbar sein, wenn er für die Ausländerin oder den Ausländer eine konkrete Gefährdung darstellt (vgl. Art. 14a Abs. 1 - 4 ANAG). In diesem Zusammenhang gilt es darauf hinzuweisen, dass die vorläufige Aufnahme als Ersatzmassnahme für den Vollzug der Wegweisung ausgestaltet ist. Sie tritt neben die Wegweisung, deren Bestand sie nicht antastet, sondern vielmehr voraussetzt (vgl. VPB 62.52 E. 12.1 mit Hinweisen).</w:t>
      </w:r>
    </w:p>
    <w:p>
      <w:r>
        <w:rPr>
          <w:b/>
        </w:rPr>
        <w:t>E. 5</w:t>
      </w:r>
    </w:p>
    <w:p>
      <w:r>
        <w:t>Aus den Akten ergeben sich keine Hinweise, dass dem Vollzug der Wegweisung des Beschwerdeführers in sein Heimatland Vollzugshindernisse entgegenstehen würden. So lassen insbesondere weder seine persönliche Situation noch die allgemeine Lage in Ghana auf das Vorliegen solcher Hindernisse schliessen. Der Beschwerdeführer ist - soweit aus den Akten ersichtlich - gesund. Zudem hat er die ersten 32 Jahre seines Lebens in Ghana verbracht und lebt erst seit Ende 2001 in der Schweiz. Unter diesen Umständen darf davon ausgegangen werden, dass er in seinem Heimatland nach wie vor über ein soziales Netz verfügt, mit dessen Hilfe er in der Lage sein sollte, sich bei einer Rückkehr in sein Heimatland eine neue wirtschaftliche Existenz aufbauen zu können.</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7</w:t>
      </w:r>
    </w:p>
    <w:p>
      <w:r>
        <w:t>Bei diesem Ausgang des Verfahrens sind dem Beschwerdeführer die Kosten aufzuerlegen (Art. 63 Abs. 1 VwVG). Diese sind auf Fr. 600.- festzusetzen (Art. 2 f. des Reglements vom 11. Dezember 2006 über die Kosten und Entschädigungen vor dem Bundesverwaltungsgericht [VGKE, SR 173.320.2]) und mit dem am 30. November 2005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