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C-6037/2014 vom 19. November 2015</w:t>
      </w:r>
    </w:p>
    <w:p>
      <w:r>
        <w:t>Bundesverwaltungsgericht, 2015-11-19, DE</w:t>
      </w:r>
    </w:p>
    <w:p>
      <w:r>
        <w:rPr>
          <w:b/>
        </w:rPr>
        <w:t xml:space="preserve">Quelle: </w:t>
      </w:r>
      <w:r>
        <w:t>https://mcp.opencaselaw.ch/entscheid/bvger_C-6037_2014</w:t>
      </w:r>
    </w:p>
    <w:p>
      <w:r>
        <w:t>FR: TAF C-6037/2014 du 19 novembre 2015</w:t>
      </w:r>
    </w:p>
    <w:p>
      <w:r>
        <w:t>IT: TAF C-6037/2014 del 19 novembre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Mangels besonderer Bestimmungen im VGG beurteilt sich die Beschwerdelegitimation nach Art. 48 VwVG. 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Voraussetzungen müssen kumulativ erfüllt sein, ansonsten nicht auf die Beschwerde einzutreten ist. Die Beschwerdelegitimation ist von Amtes wegen zu prüfen.</w:t>
      </w:r>
    </w:p>
    <w:p>
      <w:r>
        <w:rPr>
          <w:b/>
        </w:rPr>
        <w:t>E. 1.3.1</w:t>
      </w:r>
    </w:p>
    <w:p>
      <w:r>
        <w:t>Als erste Voraussetzung nennt Art. 48 Abs. 1 Bst. a VwVG die sog. formelle Beschwer. Dies bedeutet, dass die beschwerdeführende Person am vorinstanzlichen Verfahren teilgenommen haben muss, soweit sie dazu in der Lage war, und mit ihren Anträgen ganz oder teilweise unterlegen ist (vgl. Marantelli-Sonanini/Huber, in: Waldmann/Weissenberger [Hrsg.], Praxiskommentar VwVG, 2009, Art. 48 N. 22; Isabelle Häner, in: Auer/Müller/Schindler [Hrsg.], Kommentar zum Bundesgesetz über das Verwaltungsverfahren [VwVG], 2008, Art. 48 N. 6). Ob diese Voraussetzungen vorliegend erfüllt sind, ist im Folgenden zu prüfen (vgl. Urteil des BVGer C-694/2015 vom 20. August 2015 E. 1.3 m.w.H.).</w:t>
      </w:r>
    </w:p>
    <w:p>
      <w:r>
        <w:rPr>
          <w:b/>
        </w:rPr>
        <w:t>E. 1.3.2</w:t>
      </w:r>
    </w:p>
    <w:p>
      <w:r>
        <w:t>Im vorliegenden Verfahren liess die Gesuchstellerin durch ihren damaligen Rechtsvertreter Einsprache gegen den abschlägigen Bescheid der Botschaft erheben. Sie unterliess es jedoch, gegen den Einspracheentscheid der Vorinstanz selber Beschwerde zu führen. Der Gastgeber bzw. Beschwerdeführer erhob formell selber keine Einsprache und konstituierte sich erst im Beschwerdeverfahren als Partei. Allerdings war er insofern am Einspracheverfahren beteiligt, als er mittels des ihm vom Migrationsamt des Kantons Zürich zugestellten Fragebogens bei der Sachverhaltsfeststellung mitwirkte. Darüber hinaus gab er offensichtlich im Hinblick auf die Einsprache der Gesuchstellerin ausdrücklich eine schriftliche Garantie bezüglich des Verlassens des Schengen-Raums und der fristgerechten Rückreise ab und schloss sich insofern implizit der Einsprache an (vgl. Verpflichtungserklärung vom 2. September 2014). Die Voraussetzung der Teilnahme am Vorverfahren ist daher als erfüllt zu betrachten, da Art. 48 Abs. 1 Bst. a VwVG im vorliegenden Zusammenhang weit auszulegen ist (vgl. demgegenüber etwa Urteile des BVGer C 1780/2011 vom 18. Februar 2013 E. 1.3; C 3929/2012 vom 9. April 2013 E. 1.3, in denen die Frage der formellen Beschwer in ähnlich gelagerten Fällen offen gelassen wurde). Dies rechtfertigt sich hier - jedenfalls mit Bezug auf den Beschwerdeführer - umso mehr, als die Vorinstanz den Einspracheentscheid nicht nur postalisch an den als Zustelldomizil figurierenden Beschwerdeführer adressierte, sondern sich auch in der Anrede und im weiteren Verfügungstext direkt an diesen richtete (vgl. auch C-3929/2012 E. 1.3 in fine).</w:t>
      </w:r>
    </w:p>
    <w:p>
      <w:r>
        <w:rPr>
          <w:b/>
        </w:rPr>
        <w:t>E. 1.3.3</w:t>
      </w:r>
    </w:p>
    <w:p>
      <w:r>
        <w:t>Nachdem sowohl das Erfordernis der formellen Beschwer nach Art. 48 Abs. 1 Bst. a VwVG als auch die weiteren formellen Voraussetzungen erfüllt sind (vgl. Art. 48 Abs. 1 Bst. b und c VwVG, Art. 50 und 52 VwVG), ist auf die Beschwerde einzutreten [vgl. zum Ganzen BVGE 2014/1 E. 1.3].</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Der angefochtenen Verfügung liegt das Gesuch kongolesischer Staatsangehöriger um Erteilung eines Visums für einen 30-tägigen Aufenthalt in der Schweiz zugrunde. Da sich die Gesuchstellerin und ihre Kinder nicht auf die EU/EFTA-Personenfreizügigkeitsabkommen berufen können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3.2</w:t>
      </w:r>
    </w:p>
    <w:p>
      <w:r>
        <w:t>Die Erteilung eines "einheitlichen Visums" (zum Begriff vgl. Art. 2 Ziff. 3 der Verordnung [EG] Nr. 810/2009 des Europäischen Parlaments und des Rates vom 13. Juli 2009 über einen Visakodex der Gemeinschaft [nachfolgend: Visakodex]) setzt voraus, dass die gesuchstellende Person die Einreisevoraussetzungen erfüllt und kein Verweigerungsgrund vorliegt (Art. 21 und 32 Visakodex). Dazu gehört unter anderem, dass von der gesuchstellenden Person keine Gefahr für die öffentliche Ordnung, die innere Sicherheit oder die internationalen Beziehungen auch nur eines Mitgliedstaates ausgehen darf (Art. 21 Abs. 1 und Abs. 3 Bst. d und Art. 32 Abs. 1 Bst. a Ziff. vi Visakodex). Ein Instrument, das es Mitgliedstaaten gestattet, eigene Sicherheitsinteressen in "fremde" Visumverfahren einzubringen, bildet das Verfahren der vorgängigen Konsultation nach Art. 22 Visakodex. Ein im Rahmen dieses Konsultationsverfahrens erhobener Einwand gegen die Einreise der gesuchstellenden Person hat die Wirkung eines Vetos: Ungeachtet seiner Berechtigung schliesst die blosse Existenz eines Einwands die Erteilung eines einheitlichen Visums aus. Möglich ist nur noch ein "Visum mit räumlich beschränkter Gültigkeit" (zum Begriff vgl. Art. 2 Ziff. 4 Visakodex), wenn der ersuchte Mitgliedstaat die Erteilung eines solchen aus humanitären Gründen, aus Gründen des nationalen Interesses oder aufgrund internationaler Verpflichtungen für erforderlich hält (Art. 25 Abs. 1 Bst. a Ziff. iii Visakodex). Dieses Visum ist grundsätzlich nur für das Hoheitsgebiet des aus­stellenden Staates gültig (Art. 25 Abs. 2 Visakodex). Das nationale schweizerische Ausländerrecht beschränkt sich darauf, die dargestellten Inhalte des Schengen-Rechts zu wiederholen oder darauf zu verweisen (vgl. Art. 12 Abs. 1, Abs. 2 Bst. e und Abs. 4 der Verordnung vom 22. Oktober 2008 über die Einreise und die Visumerteilung [VEV, SR 142.204]).</w:t>
      </w:r>
    </w:p>
    <w:p>
      <w:r>
        <w:rPr>
          <w:b/>
        </w:rPr>
        <w:t>E. 3.3</w:t>
      </w:r>
    </w:p>
    <w:p>
      <w:r>
        <w:t>In casu lässt das Ergebnis des Konsultationsverfahrens die Erteilung eines einheitlichen Visums nicht zu. Ein Grund nach Art. 25 Abs. 1 Bst. a Ziff. ii Visakodex, der es gestatten würde, den Eingeladenen ein Visum mit beschränkter räumlicher Geltung zu erteilen, ist unbestrittenermassen nicht vorhanden. Infolgedessen steht die angefochtene Verfügung im Einklang mit dem materiellen Schengen-Recht. Inwieweit dieses Ergebnis materielle, durch Verfassung oder Völkerrecht geschützte Rechtspositionen der Gesuchstellerin verletzen sollte, ist nicht ersichtlich und wird auch nicht substantiiert dargetan. Das formelle Schengen-Recht sieht keine weitergehende Orientierung der gesuchstellenden Person über das Ergebnis des Konsultationsverfahrens vor, als im vorliegenden Fall geschehen (vgl. Art. 32 Abs. 1 Bst. a Visakodex i.V.m. Ziff. 6 des einheitlichen Formblatts zur Unterrichtung der gesuchstellenden Person gemäss Anhang VI des Visakodex; vgl. ferner Art. 54 Abs. 1 VEV). Eine Verletzung der prozessualen Informations- und Auskunftsrechte der Gesuchstellerin, gleichgültig ob im Landes- oder im Völkerrecht verankert, liegt darin nicht begründet, denn die Identität des intervenierenden Staates und die materielle Berechtigung der Einwände dieses Staates sind für die Beurteilung des konkreten Visumgesuchs ohne rechtliche Relevanz (vgl. zum Ganzen Urteil des BVGer C-6033/2009 vom 23. März 2012 E. 4.2 und 4.3).</w:t>
      </w:r>
    </w:p>
    <w:p>
      <w:r>
        <w:rPr>
          <w:b/>
        </w:rPr>
        <w:t>E. 4</w:t>
      </w:r>
    </w:p>
    <w:p>
      <w:r>
        <w:t>Aus vorstehenden Erwägungen folgt, dass die angefochtene Verfügung im Lichte von Art. 49 VwVG nicht zu beanstanden ist. Die Beschwerde ist daher abzuweisen.</w:t>
      </w:r>
    </w:p>
    <w:p>
      <w:r>
        <w:rPr>
          <w:b/>
        </w:rPr>
        <w:t>E. 5</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