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C-6033/2009 vom 23. März 2012</w:t>
      </w:r>
    </w:p>
    <w:p>
      <w:r>
        <w:t>Bundesverwaltungsgericht, 2012-03-23, DE</w:t>
      </w:r>
    </w:p>
    <w:p>
      <w:r>
        <w:rPr>
          <w:b/>
        </w:rPr>
        <w:t xml:space="preserve">Quelle: </w:t>
      </w:r>
      <w:r>
        <w:t>https://mcp.opencaselaw.ch/entscheid/bvger_C-6033_2009</w:t>
      </w:r>
    </w:p>
    <w:p>
      <w:r>
        <w:t>FR: TAF C-6033/2009 du 23 mars 2012</w:t>
      </w:r>
    </w:p>
    <w:p>
      <w:r>
        <w:t>IT: TAF C-6033/2009 del 23 marzo 2012</w:t>
      </w:r>
    </w:p>
    <w:p>
      <w:pPr>
        <w:pStyle w:val="Heading2"/>
      </w:pPr>
      <w:r>
        <w:t>Regeste</w:t>
      </w:r>
    </w:p>
    <w:p>
      <w:r>
        <w:t>Schengen-Visum</w:t>
      </w:r>
    </w:p>
    <w:p>
      <w:pPr>
        <w:pStyle w:val="Heading2"/>
      </w:pPr>
      <w:r>
        <w:t>Erwägungen</w:t>
      </w:r>
    </w:p>
    <w:p>
      <w:r>
        <w:rPr>
          <w:b/>
        </w:rPr>
        <w:t>E. 1.1</w:t>
      </w:r>
    </w:p>
    <w:p>
      <w:r>
        <w:t>Verfügungen des BFM über die Erteilung eines Visums unterliegen der Be­schwerde an das Bundesverwaltungs­gericht (Art. 31, Art. 32 so­wie Art. 33 Bst. d des Verwaltungsgerichtsgesetzes vom 17. Juni 2005 [VGG, SR 173.32]).</w:t>
      </w:r>
    </w:p>
    <w:p>
      <w:r>
        <w:rPr>
          <w:b/>
        </w:rPr>
        <w:t>E. 2</w:t>
      </w:r>
    </w:p>
    <w:p>
      <w:r>
        <w:t>Gemäss Art. 37 VGG richtet sich das Verfahren vor dem Bundesverwaltungsgericht, sofern das Verwaltungsgerichtsgesetz nichts anderes bestimmt, nach dem Verwaltungsverfahrensgesetz vom 20. Dezember 1968 (VwVG, SR 172.021).</w:t>
      </w:r>
    </w:p>
    <w:p>
      <w:r>
        <w:rPr>
          <w:b/>
        </w:rPr>
        <w:t>E. 2.1</w:t>
      </w:r>
    </w:p>
    <w:p>
      <w:r>
        <w:t>Gegenstand eines Rechtsmittelverfahrens vor dem Bundesverwaltungsgericht können grundsätzlich nur Fragen bilden, zu denen die Vorinstanz durch Verfügung verbindlich Stellung genommen hat oder zu denen sie in dieser Form hätte Stellung nehmen müssen (vgl. André Moser / Michael Beusch / Lorenz Kneubühler, Prozessieren vor dem Bundesverwaltungsgericht, Handbücher für die Anwaltspraxis, Basel 2008, Rz. 2.7 und 2.8 mit Hinweisen). Da im vorliegenden Rechtsstreit die Vorinstanz nur über den Antrag des Beschwerdeführers auf Erteilung eines Visums entschieden hat und auch nur darüber zu entscheiden hatte, erweisen sich alle seine Rechtsbegehren als unzulässig, mit denen etwas anderes verlangt wird als die Erteilung eines solchen Visums. Zulässig ist mit anderen Worten nur das vom Beschwerdeführer unter Buchstabe b) aufgeführte Rechtsbegehren, es sei ihm auch ohne Vorliegen besonderer humanitärer Gründe ein Visum zu erteilen.</w:t>
      </w:r>
    </w:p>
    <w:p>
      <w:r>
        <w:rPr>
          <w:b/>
        </w:rPr>
        <w:t>E. 2.2</w:t>
      </w:r>
    </w:p>
    <w:p>
      <w:r>
        <w:t>Der Beschwerdeführer ist gemäss Art. 48 Abs. 1 VwVG zur Erhebung eines Rechtsmittels berechtigt. Auf seine im Übrigen frist- und formgerecht eingereichten Be­schwer­de ist daher im oben dargelegten Umfang einzutreten (Art. 49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w:t>
      </w:r>
    </w:p>
    <w:p>
      <w:r>
        <w:rPr>
          <w:b/>
        </w:rPr>
        <w:t>E. 4.1</w:t>
      </w:r>
    </w:p>
    <w:p>
      <w:r>
        <w:t>Der angefochtenen Verfügung liegt das Gesuch eines iranischen Staatsangehörigen um Erteilung eines Visums für einen einmonatigen Besuchsaufenthalt in der Schweiz zugrunde. Da er sich nicht auf die EU/EFTA-Personenfreizügigkeitsabkommen berufen kann und die beabsichtigte Aufenthaltsdauer drei Monate je Sechsmonatszeitraum nicht überschreitet, fällt die vorliegende Streit­sache in den Anwendungsbereich der Schengen-Assozierungsabkommen, mit denen die Schweiz den Schengen-Besitzstand und die dazugehörigen gemeinschaftsrechtlichen Rechtsakte übernommen hat. Massgebliche Rechtsgrundlage bildet die Verordnung (EG) Nr. 810/2009 des Europäischen Parlaments und des Rates vom 13. Juli 2009 über einen Visakodex der Gemeinschaft (Visakodex, VK, ABl. L 243 vom 15. September 2009, S. 1-58). Das Ausländergesetz vom 16. Dezember 2005 (AuG, SR 142.20) und seine Ausführungsverordnungen, namentlich die im vorlie­genden rechtlichen Kontext einschlägige Verordnung vom 22. Oktober 2008 über die Einreise und die Visumerteilung (VEV, SR 142.204), gelangen nur soweit zur Anwendung, als das Schengen-Recht keine abweichenden Bestimmungen enthält (Art. 2 Abs. 2 - 5 AuG).</w:t>
      </w:r>
    </w:p>
    <w:p>
      <w:r>
        <w:rPr>
          <w:b/>
        </w:rPr>
        <w:t>E. 4.2</w:t>
      </w:r>
    </w:p>
    <w:p>
      <w:r>
        <w:t>Die Erteilung eines "einheitlichen Visums" (zum Begriff vgl. Art. 2 Ziff. 3 VK) setzt voraus, dass die gesuchstellende Person die Einreisevoraussetzungen erfüllt und kein Verweigerungsgrund vorliegt (Art. 21 und 32 VK). Dazu gehört unter anderem, dass von der gesuchstellenden Person keine Gefahr für die öffentliche Ordnung, die innere Sicherheit oder die internationalen Beziehungen auch nur eines Mitgliedstaates ausgehen darf (Art. 21 Abs. 1 und Abs. 3 Bst. d und Art. 32 Abs. 1 Bst. a Ziff. vi VK). Ein Instrument, das es Mitgliedstaaten gestattet, eigene Sicherheitsinteressen in "fremde" Visumverfahren einzubringen, bildet das Verfahren der vorgängigen Konsultation nach Art. 22 VK. Ein im Rahmen dieses Konsultationsverfahrens erhobener Einwand gegen die Einreise der gesuchstellenden Person hat die Wirkung eines Vetos: Ungeachtet seiner Berechtigung schliesst die blosse Existenz eines Einwands die Erteilung eines einheitlichen Visums aus. Möglich ist nur noch ein "Visum mit räumlich beschränkter Gültigkeit" (zum Begriff vgl. Art. 2 Ziff. 4 VK), wenn der ersuchte Mitgliedstaat die Erteilung eines solchen aus humanitären Gründen, aus Gründen des nationalen Interesses oder aufgrund internationaler Verpflichtungen für erforderlich hält (Art. 25 Abs. 1 Bst. a Ziff. iii VK). Dieses Visum ist grundsätzlich nur für das Hoheitsgebiet des aus­stellenden Staates gültig (Art. 25 Abs. 2 VK). Das nationale schweizerische Ausländerrecht beschränkt sich darauf, die dargestellten Inhalte des Schengen-Rechts zu wiederholen oder darauf zu verweisen (vgl. Art. 12 Abs. 1, Abs. 2 Bst. e und Abs. 4 VEV).</w:t>
      </w:r>
    </w:p>
    <w:p>
      <w:r>
        <w:rPr>
          <w:b/>
        </w:rPr>
        <w:t>E. 4.3</w:t>
      </w:r>
    </w:p>
    <w:p>
      <w:r>
        <w:t>In casu lässt das Ergebnis des Konsultationsverfahrens die Erteilung eines einheitlichen Visums nicht zu. Ein Grund nach Art. 25 Abs. 1 Bst. a Ziff. ii Visakodex, der es gestatten würde, dem Beschwerdeführer ein Visum mit beschränkter räumlicher Geltung zu erteilen, ist unbestrittenermassen nicht vorhanden. Infolgedessen steht die angefochtene Verfügung im Einklang mit dem materiellen Schengen-Recht. Inwieweit dieses Ergebnis materielle, durch Verfassung oder Völkerrecht geschützte Rechtspositionen des Beschwerdeführers verletzen sollte, ist nicht ersichtlich und wird auch nicht substantiiert dargetan. Das formelle Schengen-Recht sieht keine weiter gehende Orientierung der gesuchstellenden Person über das Ergebnis des Konsultationsverfahrens vor, als im vorliegenden Fall geschehen (vgl. Art. 32 Abs. 1 Bst. a VK i.V.m. Ziff. 6 des einheitlichen Formblatts zur Unterrichtung der gesuchstellenden Person gemäss Anhang VI des Visakodex; vgl. ferner Art. 54 Abs. 1 VEV). Eine Verletzung der prozessualen Informations- und Auskunftsrechte des Beschwerdeführers, gleichgültig ob im Landes- oder im Völkerrecht verankert, liegt darin nicht begründet, denn die Identität des intervenierenden Staates und die materielle Berechtigung der Einwände dieses Staates sind für die Beurteilung des konkreten Visumgesuchs ohne rechtliche Relevanz.</w:t>
      </w:r>
    </w:p>
    <w:p>
      <w:r>
        <w:rPr>
          <w:b/>
        </w:rPr>
        <w:t>E. 4.4</w:t>
      </w:r>
    </w:p>
    <w:p>
      <w:r>
        <w:t>Nicht Gegenstand des vorliegenden Verfahrens bilden die persönlichkeitsrechtsbezogenen Informations- und Auskunftsrechte über die Bearbeitung von Personendaten im Rahmen des Visumverfahrens, wie sie bezüglich des Schengener Informationssystems (SIS) von Art. 109 Abs. 1 des Übereinkommens vom 19. Juni 1990 zur Durchführung des Übereinkommens betreffend den schrittweisen Abbau der Kontrollen an den gemeinsamen Grenzen (Schengener Durchführungsübereinkommen [SDÜ], Abl. L 239 vom 22. September 2000, S. 19-62) und bezüglich des Visa-Informationssystems (VIS) von Art. 38 der Verordnung (EG) Nr. 767/2008 des europäischen Parlaments und des Rates vom 9. Juli 2008 über das VIS und den Datenaustausch zwischen den Mitgliedstaaten über Visa für einen kurzfristigen Aufenthalt (VIS-Verordnung, ABl. L 218 vom 15.8.2008, S. 60-81) dem Grundsatz nach vorgesehen und vom nationalen Datenschutzrecht ausgestaltet werden. Im letzteren Zusammenhang kann beispielhaft auf Art. 111 f. AuG verwiesen werden sowie auf Art. 49 der Verordnung vom 7. Mai 2008 über den nationalen Teil des Schengener Informationssystems (N-SIS) und das SIRENE-Büro (N-SIS-Verord­nung, SR 362.0) und Art. 25 der Verordnung vom 6. Juli 2011 über das zentrale Visa-Informationssystem (Visa-Informationssystem-Verordnung, VISV, SR 142.512). Dem Beschwerdeführer steht es frei, die entspre­chenden datenschutzrechtlichen Instrumente in Anspruch zu nehmen.</w:t>
      </w:r>
    </w:p>
    <w:p>
      <w:r>
        <w:rPr>
          <w:b/>
        </w:rPr>
        <w:t>E. 5</w:t>
      </w:r>
    </w:p>
    <w:p>
      <w:r>
        <w:t>Aus vorstehenden Erwägungen folgt, dass die angefochtene Verfügung im Lichte von Art. 49 VwVG nicht zu beanstanden ist. Die Beschwerde ist daher abzuweisen, soweit darauf eingetreten werden kann.</w:t>
      </w:r>
    </w:p>
    <w:p>
      <w:r>
        <w:rPr>
          <w:b/>
        </w:rPr>
        <w:t>E. 6</w:t>
      </w:r>
    </w:p>
    <w:p>
      <w:r>
        <w:t>Entsprechend dem Ausgang des Verfahrens wird der unter­liegende Beschwerdeführer kostenpflichtig (Art. 63 Abs. 1 VwVG, Art. 1, 2 und 3 Bst. b des Reglements vom 21. Februar 2008 über die Kosten und Ent­schädigungen vor dem Bundesverwaltungsgericht [SR 173.320.2]).</w:t>
      </w:r>
    </w:p>
    <w:p>
      <w:r>
        <w:rPr>
          <w:b/>
        </w:rPr>
        <w:t>E. 7</w:t>
      </w:r>
    </w:p>
    <w:p>
      <w:r>
        <w:t>Das vorliegende Urteil ist endgültig (Art. 83 Bst. c Ziff. 1 des Bundesge­richtsgesetzes vom 17. Juni 2005 [BGG, SR 173.110]).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