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C-6022/2009 vom 24. November 2010</w:t>
      </w:r>
    </w:p>
    <w:p>
      <w:r>
        <w:t>Bundesverwaltungsgericht, 2010-11-24, DE</w:t>
      </w:r>
    </w:p>
    <w:p>
      <w:r>
        <w:rPr>
          <w:b/>
        </w:rPr>
        <w:t xml:space="preserve">Quelle: </w:t>
      </w:r>
      <w:r>
        <w:t>https://mcp.opencaselaw.ch/entscheid/bvger_C-6022_2009</w:t>
      </w:r>
    </w:p>
    <w:p>
      <w:r>
        <w:t>FR: TAF C-6022/2009 du 24 novembre 2010</w:t>
      </w:r>
    </w:p>
    <w:p>
      <w:r>
        <w:t>IT: TAF C-6022/2009 del 24 novembre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der Kosovo zu diesen Staaten zählt, unterliegt die Gesuchstellerin der Visumpflicht.</w:t>
      </w:r>
    </w:p>
    <w:p>
      <w:r>
        <w:rPr>
          <w:b/>
        </w:rPr>
        <w:t>E. 8.1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8.2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w:t>
      </w:r>
    </w:p>
    <w:p>
      <w:r>
        <w:t>Die Gesuchstellerin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Der Armutsanteil der Bevölkerung im Kosovo liegt bei 45%; 17% der Staatsbürger leben sogar in extremer Armut (vgl. Weltbank, www.worldbank.org &gt; Countries &gt; Kosovo &gt; Overview &gt; Country Brief 2010, Stand: Oktober 2010, besucht im November 2010). Die Tendenz zur Auswanderung zeigt sich zwar erfahrungsgemäss besonders stark bei jüngeren und ungebundenen Personen, aber auch sozial eingebundene Menschen und solche reiferen Alters fassen oft diesen Weg ins Auge. Ein im Ausland bereits bestehendes, minimales soziales Beziehungsnetz (Verwandte oder Freunde) ist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w:t>
      </w:r>
    </w:p>
    <w:p>
      <w:r>
        <w:rPr>
          <w:b/>
        </w:rPr>
        <w:t>E. 8.4</w:t>
      </w:r>
    </w:p>
    <w:p>
      <w:r>
        <w:t>Der Zuwanderungsdruck spiegelt sich denn auch in der schweizerischen Asylstatistik wieder: So stammten im Jahr 2009 4.3% der Asylsuchenden aus dem Kosovo, der damit in der Statistik der Asylgesuche nach Nationen - mit insgesamt 694 Gesuchen - an siebter Stelle stand (vgl. kommentierte BFM-Asylstatistik 2009, S. 10). Seit dem 1. April 2009 gilt der Kosovo zwar als verfolgungssicherer Staat (Safe Country), dies gemäss Beschluss des Bundesrates vom 6. März 2009. Es wird sich aber zeigen müssen, ob und falls ja, welchen Einfluss dies auf künftige Asylbewerberzahlen haben wird. Immerhin stellten im 3. Quartal 2009 noch 179 Personen und im 4. Quartal 151 Personen aus dem Kosovo hier ein Asylgesuch. Im 1. und 2. Quartal 2010 sank deren Zahl auf je 140; Kosovo liegt damit aber immer noch an achter Stelle der Herkunftsländer von Asylsuchenden (vgl. kommentierte BFM-Asylstatistik, 3. und 4. Quartal 2009 sowie kommentierte Asylstatistik 1. und 2. Quartal 2010).</w:t>
      </w:r>
    </w:p>
    <w:p>
      <w:r>
        <w:rPr>
          <w:b/>
        </w:rPr>
        <w:t>E. 8.5</w:t>
      </w:r>
    </w:p>
    <w:p>
      <w:r>
        <w:t>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für eine anstandslose Wiederausreise begünstigen.</w:t>
      </w:r>
    </w:p>
    <w:p>
      <w:r>
        <w:rPr>
          <w:b/>
        </w:rPr>
        <w:t>E. 9.1</w:t>
      </w:r>
    </w:p>
    <w:p>
      <w:r>
        <w:t>Bei der im Kosovo lebenden Gesuchstellerin handelt es sich um eine 30-jährige Hausfrau. Betreffend ihre persönliche Situation ergeben die Akten - wie auch die Vorinstanz feststellt - ein widersprüchliches Bild: Geht aus einer Bescheinigung der UNMIK vom 4. August 2008 sowie einem Schreiben an das Migrationsamt des Kantons Zürich vom 28. August 2008 hervor, die Gesuchstellerin lebe alleine im Kosovo, so wird beschwerdeweise geltend gemacht, sie wohne mit ihren fünf Kindern im Kosovo (vgl. auch Bescheinigung vom 31. März 2009). Des Weiteren bestehen Unklarheiten betreffend die Vaterschaft der fünf Kinder. Zwar bestätigen die zu den Akten gereichten Geburtsurkunden, dass der Beschwerdeführer der Vater der fünf Kinder (geb. 1998, 2001, 2004, 2006) sei, umso unverständlicher gestaltet sich jedoch in diesem Zusammenhang seine Aussage, er habe die Gesuchstellerin erst am 12. November 2008 kennen gelernt und am 15. Januar 2009 geheiratet (vgl. Fragebogen des Migrationsamts des Kantons Zürich vom 9. Juni 2009, Pkt. 2). Die beschwerdeweise angekündigte Zusendung der Heiratsurkunde blieb aus. Mit Replik vom 14. Mai 2010 erfolgte zudem die Mitteilung, dass die Gesuchstellerin am 26. Juli 2009 einen weiteren Sohn geboren habe (eine entsprechende Geburtsurkunde wurde den Akten beigelegt). Mit keinem Wort wurde dieses Kind jedoch in der Beschwerde vom 21. September 2009 erwähnt. Nicht nachvollziehbar erscheint denn auch, wieso der von der Gesuchstellerin angegebene Name ihres Ehemannes (vgl. Visumantrag vom 18. Mai 2009) nicht identisch ist mit demjenigen des Beschwerdeführers. Die beschwerdeweise getätigte Darlegung überzeugt nicht: Weder können die historische Entwicklung des ehemaligen Jugoslawien noch Analphabetismus den völlig anderen Nachnamen erklären, zumal es sich gemäss Angaben der Gesuchstellerin um den Geburtsnamen des Ehegatten handelt (vgl. Visumantrag Pkt. 38). Vor diesem Hintergrund sind Zweifel an der vom Beschwerdeführer dargestellten persönlichen Situation der Gesuchstellerin in ihrem Heimatland durchaus angebracht. Bei Annahme, die Gesuchstellerin lebe mit ihren mittlerweile sechs Kindern im Kosovo, kann zwar auf den ersten Blick auf eine gewisse Verwurzelung der Gesuchstellerin in ihrem Heimatland geschlossen werden. Andererseits lässt die Tatsache, dass gleich ein Aufenthalt von zwei Monaten angestrebt wurde, nicht ohne weiteres darauf schliessen, die Präsenz der Gesuchstellerin sei für die Familie unabdingbar, zumal ihr Bruder und ihre Schwägerin - bei der sie die sechs Kinder während ihrer Abwesenheit zurücklassen würde - in der Lage sind, die Kinder in ihre Obhut zu nehmen und für sie zu sorgen. Die Erfahrung zeigt auch, dass zurückbleibende Familienmitglieder nicht verlässlich davon abhalten können, den Entschluss für eine Emigration zu fällen. Im Gegenteil, der Entscheid kann vom Gedanken getragen werden, die zurückgebliebenen Kinder finanziell zu unterstützen und später in die Schweiz nachziehen zu lassen.</w:t>
      </w:r>
    </w:p>
    <w:p>
      <w:r>
        <w:rPr>
          <w:b/>
        </w:rPr>
        <w:t>E. 9.2</w:t>
      </w:r>
    </w:p>
    <w:p>
      <w:r>
        <w:t>Demgegenüber verfügt die Eingeladene mit ihrem hierzulande lebenden Freund bzw. "Ehemann" bereits über eine enge Bezugsperson in der Schweiz. In diesem Zusammenhang gilt es insbesondere auch dem Umstand Rechnung zu tragen, dass der Gesuchstellerin auch in beruflicher Hinsicht keinerlei Verpflichtungen obliegen, die sie allenfalls von einer Emigration in die Schweiz zurückhalten könnten, gibt sie doch in ihrem Visumantrag vom 18. Mai 2009 an, Hausfrau zu sein.</w:t>
      </w:r>
    </w:p>
    <w:p>
      <w:r>
        <w:rPr>
          <w:b/>
        </w:rPr>
        <w:t>E. 9.3</w:t>
      </w:r>
    </w:p>
    <w:p>
      <w:r>
        <w:t>Aufgrund sämtlicher Umstände kann somit nicht ausgeschlossen werden, dass die Gesuchstellerin - einmal in die Schweiz eingereist - versucht sein könnte, ihren Aufenthalt zu verlängern oder gar auf eine andere rechtliche Basis zu stellen.</w:t>
      </w:r>
    </w:p>
    <w:p>
      <w:r>
        <w:rPr>
          <w:b/>
        </w:rPr>
        <w:t>E. 9.4</w:t>
      </w:r>
    </w:p>
    <w:p>
      <w:r>
        <w:t>Unter den gegebenen Umständen durfte die Vorinstanz zu Recht davon ausgehen, die Wiederausreise der Eingeladenen sei im Sinne der massgeblichen Bestimmungen nicht gesichert. Bei diesem Hinderungsgrund erübrigen sich auch weitere Ausführungen zu der von der Vorinstanz angenommenen finanziellen Garantieunfähigkeit des Beschwerdeführers sowie zu seinem strafrechlich relevanten Verhalten. An der Richtigkeit dieser Einschätzung ändert auch die Tatsache nichts, dass die Arbeitgeberin des Beschwerdeführers dafür bürgt, dass die Gesuchstellerin die Schweiz rechtzeitig verlassen werde (vgl. Replik vom 14. Mai 2010 sowie beigelegte Bestätigung vom 10. Februar 2010). Eine solche Garantie ist trotz bester und ehrlicher Absichten nicht möglich bzw. rechtlich nicht durchsetzbar. Eine Garantie kann zwar für gewisse finanzielle Risiken im Zusammenhang mit dem Besuchsaufenthalt ausgesprochen werden, nicht aber für ein bestimmtes Verhalten der Gäste (vgl. anstelle vieler: Urteile des Bundesverwaltungsgerichts C-3174/2008 vom 8. Juni 2009 E. 8.3 und C-2618/2008 vom 26. Februar 2009 E. 11, mit weiteren Hinweisen).</w:t>
      </w:r>
    </w:p>
    <w:p>
      <w:r>
        <w:rPr>
          <w:b/>
        </w:rPr>
        <w:t>E. 9.5</w:t>
      </w:r>
    </w:p>
    <w:p>
      <w:r>
        <w:t>Zu Unrecht macht der Beschwerdeführer in casu zudem ein Besuchsrecht der Gesuchstellerin gemäss Art. 8 EMRK geltend. Die Ehe der Gesuchstellerin mit dem Beschwerdeführer wurde lediglich behauptet, eine Zustellung der Heiratsurkunde erfolgte trotz beschwerdeweisen Ankündigung jedoch nicht. Doch auch bei vorliegen einer Ehe wäre ein solcher Anspruch zum einen im Verfahren um Aufenthaltsregelung geltend zu machen. Zum anderen garantiert die angerufene Norm zwar das Recht auf Familienleben. Sie verleiht jedoch keinen Anspruch auf Verwirklichung dieses Familienlebens in einem bestimmten Staat. Von einem rechtfertigungsbedürftigen Grundrechtseingriff könnte - wenn überhaupt - nur dann ausgegangen werden, wenn die Wahrnehmung der familiären Kontakte in zumutbarer Weise nur durch Besuche der Gesuchstellerin in der Schweiz zu verwirklichen wäre, was vorliegend jedoch zu Recht nicht behauptet wird. Dem Beschwerdeführer steht es denn auch weiterhin anheim, die Gesuchstellerin im Kosovo zu besuchen.</w:t>
      </w:r>
    </w:p>
    <w:p>
      <w:r>
        <w:rPr>
          <w:b/>
        </w:rPr>
        <w:t>E. 10</w:t>
      </w:r>
    </w:p>
    <w:p>
      <w:r>
        <w:t>Aus den dargelegten Gründen ist daher nicht zu beanstanden, dass die Vorinstanz das öffentliche Interesse sowie die Beachtung der geltenden Bestimmungen entsprechend gewichtete und der Gesuchstellerin die Einreise verweigerte. Die angefochtene Verfügung erweist sich somit im Ergebnis als rechtmässig (Art. 49 VwVG). Die Beschwerde ist demzufolge abzuweisen.</w:t>
      </w:r>
    </w:p>
    <w:p>
      <w:r>
        <w:rPr>
          <w:b/>
        </w:rPr>
        <w:t>E. 11</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und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