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C-601/2012 vom 24. Februar 2014</w:t>
      </w:r>
    </w:p>
    <w:p>
      <w:r>
        <w:t>Bundesverwaltungsgericht, 2014-02-24, DE</w:t>
      </w:r>
    </w:p>
    <w:p>
      <w:r>
        <w:rPr>
          <w:b/>
        </w:rPr>
        <w:t xml:space="preserve">Quelle: </w:t>
      </w:r>
      <w:r>
        <w:t>https://mcp.opencaselaw.ch/entscheid/bvger_C-601_2012</w:t>
      </w:r>
    </w:p>
    <w:p>
      <w:r>
        <w:t>FR: TAF C-601/2012 du 24 février 2014</w:t>
      </w:r>
    </w:p>
    <w:p>
      <w:r>
        <w:t>IT: TAF C-601/2012 del 24 febbraio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3.1</w:t>
      </w:r>
    </w:p>
    <w:p>
      <w:r>
        <w:t>Der Beschwerdeführer ist Staatsangehöriger von Ghana. Sollte er noch immer mit der deutschen Staatsangehörigen B._______ verheiratet sein (vgl. die entsprechenden Ausführungen in der Rechtsmitteleingabe, Bst. G des Sachverhalts), würde er als Ehegatte einer Staatsangehörigen eines Mitgliedstaates der Europäischen Gemeinschaft (EG) grundsätzlich in den Anwendungsbereich des Abkommens vom 21. Juni 1999 zwischen der Schweizerischen Eidgenossenschaft einerseits und der Europäischen Gemeinschaft und ihren Mitgliedstaaten andererseits über die Freizügigkeit (SR 0.142.112.681, nachfolgend: Freizügigkeitsabkommen bzw. FZA) fallen, sofern er sich nicht rechtsmissbräuchlich darauf beruft (vgl. BGE 130 II 113 E. 9 und E. 10; Urteil des Bundesgerichts 2C_273/2011 vom 5. Oktober 2011 E. 3.2; Urteil des Bundesverwaltungsgerichts C-6000/2011 vom 14. Mai 2013 E. 3.1 mit Hinweisen). Das Ausländergesetz käme nur insoweit zur Anwendung, als das Freizügigkeitsabkommen keine abweichende Regelung kennt oder die ordentliche Ausländergesetzgebung ihm eine vorteilhaftere Rechtsstellung vermitteln würde (vgl. Art. 2 Abs. 2 AuG).</w:t>
      </w:r>
    </w:p>
    <w:p>
      <w:r>
        <w:rPr>
          <w:b/>
        </w:rPr>
        <w:t>E. 3.2</w:t>
      </w:r>
    </w:p>
    <w:p>
      <w:r>
        <w:t>Aus den Akten geht hervor, dass der Beschwerdeführer spätestens seit Mitte 2010 keinen Kontakt mehr zu seiner deutschen Ehepartnerin mehr hat. Nach Darstellung seiner Rechtsvertreterin soll er vielmehr noch in der Schweiz eine Beziehung zu einer andern Frau, der Schweizerbürgerin C._______, eingegangen sein, aus welcher ein gemeinsamer Sohn entsprossen sein soll, und in seinem Heimatland bereits ein Scheidungsverfahren gegen seine Ehepartnerin, deren jetziger Aufenthaltsort jedoch nicht bekannt sei, eingeleitet haben. Gemäss den Angaben im Zentralen Migrationsinformationssystem (ZEMIS) des BFM ist B._______ am 10. September 2011 aus der Schweiz ausgereist. Folgerichtig beruft sich der Beschwerdeführer vor diesem Hintergrund denn auch nicht auf (abgeleitete) Rechte aus dem Freizügigkeitsabkommen. Die vorliegende Sache beurteilt sich somit ausschliesslich nach dem schweizerischen Ausländerrecht.</w:t>
      </w:r>
    </w:p>
    <w:p>
      <w:r>
        <w:rPr>
          <w:b/>
        </w:rPr>
        <w:t>E. 4.1</w:t>
      </w:r>
    </w:p>
    <w:p>
      <w:r>
        <w:t>Landesrechtliche Grundlage der angefochtenen Verfügung bildet Art. 67 AuG. Nach dieser Bestimmung verfügt das BFM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daher Anlass für die Verhängung eines Einreiseverbots sein (vgl. etwa Urteil des Bundesverwaltungsgerichts C-3576/2012 vom 9. August 2013 E. 3.2 mit Hinweis), wobei der Erlass einer solchen Massnahme, wie erwähnt, stets zum Schutz vor künftigen Störungen und nicht im Sinne einer Sanktion erfolgt (vgl. Botschaft, a.a.O., S. 3813).</w:t>
      </w:r>
    </w:p>
    <w:p>
      <w:r>
        <w:rPr>
          <w:b/>
        </w:rPr>
        <w:t>E. 4.3</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5.1</w:t>
      </w:r>
    </w:p>
    <w:p>
      <w:r>
        <w:t>Die Vorinstanz begründete ihre Verfügung damit, dass die Aufenthaltsbewilligung des Beschwerdeführers widerrufen und der Ausländer aus der Schweiz weggewiesen worden sei. Der Beschwerdeführer habe dabei die ihm angesetzte Ausreisefrist nicht eingehalten und sich daher illegal im Schengenraum aufgehalten. Damit liege ein ernstzunehmender Verstoss gegen die öffentliche Sicherheit und Ordnung im Sinne von Art. 67 AuG vor.</w:t>
      </w:r>
    </w:p>
    <w:p>
      <w:r>
        <w:rPr>
          <w:b/>
        </w:rPr>
        <w:t>E. 5.2</w:t>
      </w:r>
    </w:p>
    <w:p>
      <w:r>
        <w:t>In casu wurde der Beschwerdeführer mit in Rechtskraft erwachsener Verfügung des Migrationsamtes des Kantons Luzern vom 15. Juni 2011 aus der Schweiz weggewiesen. Gleichzeitig wurde ihm eine Ausreisefrist bis zum 30. Juli 2011 angesetzt, welche er unbenutzt verstreichen liess. Beim Fernhaltegrund von Art. 67 Abs. 1 Bst. b AuG ist grundsätzlich ein Einreiseverbot zu erlassen. Dem BFM kommt vorliegend mithin ein stark eingeschränktes Entschliessungsermessen zu (vgl. BBl 8896 ad Art. 67 Abs. 1; ferner Urteil des Bundesverwaltungsgerichts C-1088/2013 vom 23. Oktober 2013 E. 6.2 mit Hinweis). Nur in Ausnahmefällen ist von der Verhängung eines Einreiseverbots abzusehen (vgl. Art. 67 Abs. 5 AuG). Eine solche Konstellation liegt im Falle des Beschwerdeführers, der in der fraglichen Zeitspanne nie ernsthaft gewillt war, der Ausreiseverpflichtung Folge zu leisten, offenkundig nicht vor.</w:t>
      </w:r>
    </w:p>
    <w:p>
      <w:r>
        <w:rPr>
          <w:b/>
        </w:rPr>
        <w:t>E. 5.3</w:t>
      </w:r>
    </w:p>
    <w:p>
      <w:r>
        <w:t>Aufgrund der Aktenlage steht im Weitern fest, dass der Aufenthalt des Beschwerdeführers nach Ablauf der ihm gewährten Ausreisefrist (30. Juli 2011) bis zu seiner polizeilichen Festnahme am 4. November 2011 illegal war. Wegen rechtswidrigen Aufenthalts in der Schweiz wurde er denn auch mit Strafbefehl der Staatsanwaltschaft Abteilung 1 Luzern vom 4. November 2011 zu einer (bedingten) Geldstrafe und einer Busse verurteilt. Dieses Strafurteil ist unangefochten in Rechtskraft erwachsen (vgl. Bst. D des Sachverhalts).</w:t>
      </w:r>
    </w:p>
    <w:p>
      <w:r>
        <w:rPr>
          <w:b/>
        </w:rPr>
        <w:t>E. 5.4</w:t>
      </w:r>
    </w:p>
    <w:p>
      <w:r>
        <w:t>Ohne seinen widerrechtlichen Aufenthalt grundsätzlich zu bestreiten, macht der Beschwerdeführer hingegen geltend, nach Bekanntwerden der Schwangerschaft seiner Freundin hätten sie sich von einem (nicht näher bezeichneten) Rechtsanwalt beraten lassen, welcher ihnen geraten hätte, sowohl mit der (Meldung der) Adressänderung wie auch mit der Scheidung zuzuwarten. Aufgrund dieser Empfehlung sei er (der Beschwerdeführer) davon ausgegangen, er könne bis zum Ablauf seiner vormaligen Aufenthaltsbewilligung, mithin bis zum 27. Februar 2012, rechtmässig in der Schweiz verbleiben. Einleitend gilt es festzuhalten, dass sich weder aus den in diesem Verfahren beigezogenen umfangreichen kantonalen Akten noch aus den vor-instanzlichen bzw. den Rekursakten konkrete Hinweise auf einen allfälligen, vom Beschwerdeführer beauftragten früheren Rechtsvertreter ergeben. Sollte es sich dabei nicht um eine Schutzbehauptung handeln und der Beschwerdeführer in der fraglichen Angelegenheit tatsächlich einen Rechtsanwalt konsultiert haben, dürfte dieser wohl kaum Kenntnis von der lediglich im Luzerner Kantonalblatt publizierten Wegweisungsverfügung seines Klienten erlangt haben. Entsprechend kann der Beschwerdeführer aus der angeblich von einem Anwalt erteilten falschen Auskunft nichts für sich ableiten; dies umso weniger, als er vielmehr gehalten gewesen wäre, die zuständigen Behörden - in erster Linie die kantonale Migrationsbehörde bzw. die Einwohnerkontrolle - unverzüglich zu kontaktieren und über seinen Auszug aus der ehelichen Wohnung zu informieren (vgl. auch Urteil des Bundesverwaltungsgerichts C-1638/2011 vom 10. August 2012 E. 5.3). Die rechtlichen und tatsächlichen Folgen aus seiner Unterlassung hat sich der Beschwerdeführer selbst zuzuschreiben. Durch Publikation im Luzerner Kantonsblatt ist ihm die Wegweisungsverfügung der kantonalen Migrationsbehörde vom 15. Juni 2011 jedenfalls rechtsgültig eröffnet worden. In casu steht somit ausser Frage, dass der Beschwerdeführer durch seinen rechtswidrigen Aufenthalt in der Schweiz im Sinne von Art. 67 Abs. 2 Bst. a AuG i.V.m. Art. 80 Abs. 1 Bst. a VZAE gegen die öffentliche Sicherheit und Ordnung verstossen und damit einen weiteren Fernhaltegrund gesetzt hat (vgl. das erwähnte Urteil des Bundesverwaltungsgerichts C-1088/2013 vom 23. Oktober 2013 E. 6.3.1).</w:t>
      </w:r>
    </w:p>
    <w:p>
      <w:r>
        <w:rPr>
          <w:b/>
        </w:rPr>
        <w:t>E. 5.5</w:t>
      </w:r>
    </w:p>
    <w:p>
      <w:r>
        <w:t>Zusammenfassend ergibt sich, dass der Beschwerdeführer, welcher nicht innerhalb der angesetzten Frist ausgereist ist, sondern sich vielmehr während mehr als drei Monaten widerrechtlich in der Schweiz aufgehalten hat, Fernhaltegründe im Sinne von Art. 67 Abs. 1 Bst. b AuG und Art. 67 Abs. 2 Abs. 2 Bst. a AuG gesetzt hat. Tritt hinzu, dass er schliesslich auch noch in Ausschaffungshaft genommen wurde (vgl. dazu Art. 67 Abs. 2 Bst. c AuG). Anzumerken wäre, dass diese Ergänzung oder vielmehr Präzisierung der vorinstanzlichen Begründung im Sinne einer Motivsubstitution durchaus möglich und zulässig ist (vgl. E. 2 in fine; ferner Alfred Kölz/Isabelle Häner, Verwaltungsverfahren und Verwaltungsrechtspflege des Bundes, 2. Aufl., Zürich 1998, Rz. 677 oder Urteil des Bundesverwaltungsgerichts C-2348/2012 vom 28. August 2013 E. 4.5.4 mit Hinweis).</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6.2</w:t>
      </w:r>
    </w:p>
    <w:p>
      <w:r>
        <w:t>Aus dem manifestierten Verhalten des Beschwerdeführers ist auf eine Gefährdung der öffentlichen Sicherheit und Ordnung zu schliessen. An der Einhaltung der Rechtsordnung im Allgemeinen und der Vorschriften über Einreise, Aufenthalt und Erwerbstätigkeit im Besonderen besteht ein gewichtiges öffentliches Interesse. Das Einreiseverbot wirkt hier einerseits präventiv, indem es andere Ausländerinnen und Ausländer angesichts der nachteiligen Folgen dazu anhält, sich an die ausländerrechtliche Rechtsordnung des Gastlandes zu halten (zur Zulässigkeit der Berücksichtigung generalpräventiver Aspekte in Konstellationen, in denen wie hier kein sogenannter Vertragsausländer betroffen ist, vgl. Urteil des Bundesgerichts 2C_282/2012 vom 31. Juli 2012 E. 2.5 mit Hinweisen).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(vgl. etwa Urteil des Bundesverwaltungsgerichts C-5319/2012 vom 14. Juni 2013 E. 5.2.1 mit Hinweis).</w:t>
      </w:r>
    </w:p>
    <w:p>
      <w:r>
        <w:rPr>
          <w:b/>
        </w:rPr>
        <w:t>E. 6.3</w:t>
      </w:r>
    </w:p>
    <w:p>
      <w:r>
        <w:t>Das Fehlverhalten des Beschwerdeführers wiegt aber auch, was die subjektive Seite anbelangt, nicht leicht. Er hat die Schweiz trotz behördlich verfügter Wegweisung nicht verlassen und sich danach während mehr als drei Monaten illegal im Land aufgehalten, wobei der Strafrichter dabei von einer vorsätzlichen Widerhandlung gegen das Ausländergesetz ausging (vgl. Bst. D des Sachverhalts). Insoweit besteht ein erhebliches öffentliches Interesse an einer befristeten Fernhaltung des Betroffenen.</w:t>
      </w:r>
    </w:p>
    <w:p>
      <w:r>
        <w:rPr>
          <w:b/>
        </w:rPr>
        <w:t>E. 6.4</w:t>
      </w:r>
    </w:p>
    <w:p>
      <w:r>
        <w:t>An privaten Interessen bringt der Beschwerdeführer demgegenüber vor, er stehe in Partnerschaft zu einer Schweizer Bürgerin und sei Vater eines im November 2011 geborenen, gemeinsamen Kindes, weshalb sich das angefochtene Einreiseverbot als unverhältnismässig erweise. Einmal davon abgesehen, dass bis zum heutigen Zeitpunkt weder die vom Beschwerdeführer in Aussicht gestellte Vaterschaftsurkunde noch ein allfälliges Scheidungsurteil beigebracht worden sind, können die geltend gemachten privaten Interessen an einem Verzicht auf die Fernhaltemassnahme in casu nicht überwiegen. Der Beschwerdeführer verkennt bei seiner Argumentation, dass die Verwirklichung von Familienleben in der Schweiz nicht erst am ausgesprochenen Einreiseverbot, sondern schon an der fehlenden Aufenthaltsregelung scheitert (zum Ganzen vgl. BVGE 2013/4 E. 7.4.1 mit Hinweisen). Entsprechende Interessen wären im Rahmen eines Gesuchs um Familiennachzug zu prüfen und könnten - wie die Vorinstanz in ihrer Vernehmlassung festgehalten hat - bei Vorliegen eines positiven Entscheides der kantonalen Behörden zur wiedererwägungsweisen Aufhebung der Fernhaltemassnahme durch die Vorinstanz führen. Das bestehende Einreiseverbot würde dabei - entgegen der Ansicht der Rechtsvertreterin - einer allfälligen Bewilligung des Familiennachzuges nicht entgegenstehen (vgl. nichtpubliziertes Urteil des Bundesgerichts 2A.141/2002 vom 19. Juli 2002 E. 1.4). Dem Beschwerdeführer steht im Weitern die Möglichkeit offen, aus wichtigen Gründen mittels begründetem Gesuch die zeitweilige Suspension der angeordneten Fernhaltemassnahme zu beantragen (Art. 67 Abs. 5 AuG). Die Suspension wird aber praxisgemäss nur für eine kurze und klar begrenzte Zeit gewährt (vgl. Urteil des Bundesverwaltungsgerichts C-939/2012 vom 18. September 2013 E. 9.5 mit Hinweis). Sodann ist davon auszugehen, dass der Kontakt mit der Kindsmutter respektive dem Sohn während der Dauer des Einreiseverbots auch auf andere Weise - namentlich durch Briefverkehr, Telefonate, mittels moderner Kommunikationsmittel oder allenfalls durch Reisen der in der Schweiz lebenden Angehörigen in den Aufenthaltsstaat des Beschwerdeführers - gepflegt werden kann. Die mit dem Einreiseverbot verbundenen Einschränkungen sind demnach zu relativieren. Vor diesem Hintergrund vermögen die erwähnten privaten Interessen angesichts des erheblichen öffentlichen Fernhalteinteresses weder eine Aufhebung noch eine Reduktion der Dauer des Einreiseverbots im beantragten Sinne zu rechtfertigen.</w:t>
      </w:r>
    </w:p>
    <w:p>
      <w:r>
        <w:rPr>
          <w:b/>
        </w:rPr>
        <w:t>E. 6.5</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 Sie entspricht auch der Praxis in vergleichbaren Fällen (vgl. etwa Urteile des Bundesverwaltungsgerichts C-3333/2011 vom 19. September 2013, C-1638/2011 vom 10. August 2012 sowie C 8784/2010 und C 8785/2010 vom 23. Januar 2012). Die Rechtsvertreterin wendet zwar ein, es sei unverhältnismässig, bei einem rechtswidrigen Aufenthalt von lediglich drei Monaten ein dreijähriges Einreiseverbot auszusprechen. Dieses Argument vermag schon deshalb nicht zu überzeugen, weil in casu die Dauer des illegalen Aufenthaltes einzig vom Umstand abhing, dass der Beschwerdeführer bereits einen Monat nach seiner Ausschreibung im RIPOL polizeilich angehalten werden konnte. Ebenso unbeachtlich ist der Hinweis auf das Urteil des Bundesverwaltungsgerichts C-6017/2010 vom 19. April 2011, hielt sich doch die entsprechende Person etwas mehr als zwei Monate über den bewilligungsfreien Aufenthalt hinaus in der Schweiz auf und nicht - wie in der Beschwerde behauptet - während mehr als fünf Monaten. Nach dem Gesagten liegen somit keine besonderen Gründe vor, die es rechtfertigen würden, in casu von der bisherigen Praxis abzuweichen.</w:t>
      </w:r>
    </w:p>
    <w:p>
      <w:r>
        <w:rPr>
          <w:b/>
        </w:rPr>
        <w:t>E. 7</w:t>
      </w:r>
    </w:p>
    <w:p>
      <w:r>
        <w:t>Die Vorinstanz hat in der angefochtenen Verfügung ferner die Ausschreibung des Einreiseverbots im SIS angeordnet. Der Beschwerdeführer ist nicht Bürger eines Mitgliedstaates der Europäischen Union. Aufgrund der Ausschreibung im SIS ist es ihm untersagt, den Schengen-Raum zu betreten. Der darin liegende Eingriff wird durch die Bedeutung des Falles gerechtfertigt (vgl. Art. 21 i.V.m. Art. 24 Abs. 2 SIS-II-VO). Zum Einen ist aufgrund des Verhaltens des Betroffenen von einer nicht unbeachtlichen Gefährdung der öffentlichen Sicherheit und Ordnung auszugehen (siehe E. 5 hievor). Zum Anderen hat die Schweiz die Interessen der Gesamtheit aller Schengen-Staaten zu wahren (vgl. BVGE 2011/48 E. 6.1) und war wegen der Wegweisung des Beschwerdeführers und der nicht fristgerechten Ausreise zum Erlass eines schengenweiten Einreiseverbotes verpflichtet (vgl. Art. 3 Ziff. 6 i.V.m. Art. 11 sowie Erwägungsgründe 14 und 29 Rückführungsrichtlinie [RFRL, ABl. L 348 vom 24. Dezember 2008, S. 98-107]; Art. 5 Abs. 1 Bst. e SGK; Art. 5 Abs. 1 Bst. c AuG; Art. 9 Abs. 2 VZAE). Wie erwähnt (E. 4.3 vorstehend), bleibt es den Schengen-Staaten unbenommen, der ausgeschriebenen Person bei Vorliegen besonderer Gründe die Einreise ins eigene Hoheitsgebiet zu gestatten (vgl. auch Art. 67 Abs. 5 AuG). Die Voraussetzungen für die Ausschreibung im SIS sind demnach erfüllt, weshalb dem Antrag um Löschung des entsprechenden Eintrages nicht stattzugeben ist.</w:t>
      </w:r>
    </w:p>
    <w:p>
      <w:r>
        <w:rPr>
          <w:b/>
        </w:rPr>
        <w:t>E. 8</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