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C-601/2009 vom 11. Januar 2010</w:t>
      </w:r>
    </w:p>
    <w:p>
      <w:r>
        <w:t>Bundesverwaltungsgericht, 2010-01-11, DE</w:t>
      </w:r>
    </w:p>
    <w:p>
      <w:r>
        <w:rPr>
          <w:b/>
        </w:rPr>
        <w:t xml:space="preserve">Quelle: </w:t>
      </w:r>
      <w:r>
        <w:t>https://mcp.opencaselaw.ch/entscheid/bvger_C-601_2009</w:t>
      </w:r>
    </w:p>
    <w:p>
      <w:r>
        <w:t>FR: TAF C-601/2009 du 11 janvier 2010</w:t>
      </w:r>
    </w:p>
    <w:p>
      <w:r>
        <w:t>IT: TAF C-601/2009 del 11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legitimiert. Auf die frist- und formgerechte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C-3013/2008 vom 14. Februar 2009 E. 5.2 und E. 5.3 sowie C-1509/2008 vom 13.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In den Anhängen I und II zur Verordnung (EG) Nr. 539/2001 des Rates vom 15. März 2001 (ABl. L 81 vom 21.03.2001, S. 1-7) sind diejenigen Staaten aufgelistet, deren Staatsangehörige beim Überschreiten der Aussengrenzen der Schengen-Mitgliedstaaten im Besitz eines Visums sein müssen (Anhang I) bzw. diejenigen, die keines Visums bedürfen (Anhang II). Zwar findet sich die Republik Kosovo weder in Anhang I noch in Anhang II, entscheidend ist jedoch, dass sie nicht in der Liste der von der Visumspflicht befreiten Staaten aufgeführt ist. Als kosovarische Staatsangehörige unterliegt die Gesuchstellerin deshalb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Gesuchstellerin lebt in der inzwischen unabhängigen und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es herrscht wirtschaftliche Stagnation und die Arbeitslosigkeit bleibt hartnäckig hoch. So sind mehr als die Hälfte der Erwerbsfähigen ohne oder zumindest ohne regelmässiges Einkommen. Zudem stellt die Armut ein weitverbreitetes Phänomen dar: Der Anteil der in Armut lebenden Bevölkerung lag im Jahr 2008 bei hohen rund 45%, wobei 15% der Einwohner gar von extremer Armut betroffen waren (Quelle: Weltbank, www.worldbank.org &gt; Countries &gt; Kosovo &gt; Overview &gt; Kosovo Brief 2009, Stand: November 2009, besucht im Januar 2010). Die Tendenz zur Auswanderung zeigt sich zwar erfahrungsgemäss besonders stark bei jüngeren und ungebundenen Personen, aber auch sozial eingebundene Menschen und solche reiferen Alters fassen oft diesen Weg ins Auge. Ein im Ausland bereits bestehendes, minimales soziales Beziehungsnetz (Verwandte oder Freunde) ist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 Die anhaltend schwierige Lage des Landes wird durch die schweizerische Asylstatistik gestützt: So stammten im Jahr 2008 7.8% der Asylsuchenden aus dem Gebiet von Serbien und dem Kosovo. Diese Region stand damit in der Statistik der Asylgesuche nach Nationen an vierter Stelle (vgl. kommentierte BFM-Asylstatistik 2008, S. 9). Seit dem 1. April 2009 gelten Serbien und Kosovo zwar als verfolgungssichere Staaten (Safe Countries), dies gemäss Beschluss des Bundesrates vom 6. März 2009. Es wird sich aber zeigen müssen, ob und falls ja, welchen Einfluss dies auf künftige Asylbewerberzahlen haben wird. Immerhin stellten im 2. Quartal 2009 noch 142 Personen aus dem Kosovo hier ein Asylgesuch. Im 3. Quartal stieg die Zahl auf 179 Gesuche (+37 = +26.1%). Kosovo liegt damit in der Quartalsstatistik der Asylgesuche nach Nationen an siebter Stelle (vgl. kommentierte BFM-Asylstatistik, 3. Quartal 2009, S. 7).</w:t>
      </w:r>
    </w:p>
    <w:p>
      <w:r>
        <w:rPr>
          <w:b/>
        </w:rPr>
        <w:t>E. 7.4</w:t>
      </w:r>
    </w:p>
    <w:p>
      <w:r>
        <w:t>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für eine anstandslose Wiederausreise begünstigen.</w:t>
      </w:r>
    </w:p>
    <w:p>
      <w:r>
        <w:rPr>
          <w:b/>
        </w:rPr>
        <w:t>E. 8.1</w:t>
      </w:r>
    </w:p>
    <w:p>
      <w:r>
        <w:t>Die im Kosovo lebende Gesuchstellerin ist 79-jährig und verwitwet. Zu den familiären Verhältnissen im Heimatland wurden im vorliegenden Visumsverfahren von den Beteiligten keine näheren Angaben gemacht. In den vorinstanzlichen Akten findet sich lediglich der Hinweis der Beschwerdeführerin, ihre Mutter werde nach ihrem Besuchsaufenthalt in der Schweiz ihr Leben mit den (nicht näher bezeichneten) Verwandten, Bekannten und Freunden im Heimatland fortsetzen (vgl. Ziff. 7 des am 8. Dezember 2008 ausgefüllten kantonalen Fragebogens). Aufgrund einer Bestätigung der UNMIK vom 21. Oktober 2008 ist allerdings anzunehmen, dass die Eingeladene nicht mit weiteren Personen in Hausgemeinschaft, sondern alleine lebt. In Bezug auf ihre Familienangehörigen hält das fragliche Schreiben der UNMIK lediglich fest, dass der Sohn S._______ (geb. 1956) Arbeiter in der Schweiz sei. Es kann demnach nicht davon ausgegangen werden, die Gesuchstellerin verfüge im Kosovo über genügenden familiären Rückhalt, welcher sie nachhaltig von einer Emigration abzuhalten vermöchte.</w:t>
      </w:r>
    </w:p>
    <w:p>
      <w:r>
        <w:rPr>
          <w:b/>
        </w:rPr>
        <w:t>E. 8.2</w:t>
      </w:r>
    </w:p>
    <w:p>
      <w:r>
        <w:t>Demgegenüber verfügt die Eingeladene mit ihren hierzulande lebenden beiden Söhnen und Töchtern bereits über engste Bezugspersonen in der Schweiz. In diesem Zusammenhang gilt es insbesondere dem Umstand Rechnung zu tragen, dass offenbar sämtliche Familienangehörige der Gesuchstellerin ihr Heimatland definitiv verlassen haben und nach Westeuropa (Schweiz, Bundesrepublik Deutschland) übersiedelt sind, woraus auf einen konkreten Migrationswillen im nächsten Umfeld der Eingeladenen geschlossen werden kann. Vor diesem Hintergrund müssen die Beteuerungen auf Beschwerdeebene, die Gesuchstellerin werde die Schweiz nach ihrem Besuchsaufenthalt fristgerecht wieder verlassen, als nicht ausschlaggebend bezeichnet werden; dies umso weniger, als von der Beschwerdeführerin nicht ausgeführt wird, wodurch ihre Mutter gegebenenfalls zur Rückkehr in ihr Heimatland zu motivieren wäre.</w:t>
      </w:r>
    </w:p>
    <w:p>
      <w:r>
        <w:rPr>
          <w:b/>
        </w:rPr>
        <w:t>E. 8.3</w:t>
      </w:r>
    </w:p>
    <w:p>
      <w:r>
        <w:t>Nicht zuletzt altersbedingte gesundheitliche Probleme sowie die fehlenden familiären Beziehungen im Heimatland bergen ein erhöhtes Risiko in sich, die Gesuchstellerin könnte nach einem mehrmonatigen Aufenthalt in der Schweiz geneigt sein, den Lebensabend im Umfeld ihrer in der Schweiz lebenden Kinder und deren Familien zu verbringen. Angesichts dieser Sachlage (Alter, allfällige gesundheitliche Probleme, fehlende Verwurzelung in der Heimat, sämtliche Kinder im Ausland wohnhaft) bestehen eindeutig Festsetzungstendenzen und demzufolge begründete Zweifel am deklarierten Aufenthaltszweck (Besuchsaufenthalt; vgl. Art. 15 Abs. 1 Bst. b i.V.m. Art. 16 und Art. 12 Abs. 2 Bst. c in fine VEV).</w:t>
      </w:r>
    </w:p>
    <w:p>
      <w:r>
        <w:rPr>
          <w:b/>
        </w:rPr>
        <w:t>E. 8.4</w:t>
      </w:r>
    </w:p>
    <w:p>
      <w:r>
        <w:t>Unter den gegebenen Umständen durfte die Vorinstanz daher zu Recht davon ausgehen, die Wiederausreise der Eingeladenen sei im Sinne der massgeblichen Bestimmungen nicht gesichert. An der Richtigkeit dieser Einschätzung ändert auch die Tatsache nichts, dass die Beschwerdeführerin die rechtzeitige Rückkehr ihrer Mutter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Urteile des Bundesverwaltungsgerichts C-3174/2008 vom 8. Juni 2009 E. 8.3 und C-2618/2008 vom 26. Februar 2009 E. 11, mit weiteren Hinweisen). Der Beschwerdeführerin und ihren Geschwistern steht weiterhin die Möglichkeit offen, die Gesuchstellerin im Kosovo zu besuchen. Die Pflege der familiären Kontakte zwischen den Beteiligten dürfte somit sichergestellt sein.</w:t>
      </w:r>
    </w:p>
    <w:p>
      <w:r>
        <w:rPr>
          <w:b/>
        </w:rPr>
        <w:t>E. 9</w:t>
      </w:r>
    </w:p>
    <w:p>
      <w:r>
        <w:t>Aus den dargelegten Gründen ist daher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10</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