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C-6019/2008 vom 8. Februar 2011</w:t>
      </w:r>
    </w:p>
    <w:p>
      <w:r>
        <w:t>Bundesverwaltungsgericht, 2011-02-08, DE</w:t>
      </w:r>
    </w:p>
    <w:p>
      <w:r>
        <w:rPr>
          <w:b/>
        </w:rPr>
        <w:t xml:space="preserve">Quelle: </w:t>
      </w:r>
      <w:r>
        <w:t>https://mcp.opencaselaw.ch/entscheid/bvger_C-6019_2008</w:t>
      </w:r>
    </w:p>
    <w:p>
      <w:r>
        <w:t>FR: TAF C-6019/2008 du 8 février 2011</w:t>
      </w:r>
    </w:p>
    <w:p>
      <w:r>
        <w:t>IT: TAF C-6019/2008 del 8 febbraio 2011</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Anfechtung legitimiert (Art. 48 Abs. 1 VwVG). Auf die frist- und formgerecht eingereichte Beschwerde ist einzutreten, soweit sie sich gegen die definitive Abrechnung über das Sicherheitskonto Nr. _______ richtet (Art. 49 ff. VwVG; zum Verfahrensgegenstand sie auch E. 4 weiter unten).</w:t>
      </w:r>
    </w:p>
    <w:p>
      <w:r>
        <w:rPr>
          <w:b/>
        </w:rPr>
        <w:t>E. 1.4</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2A.451/2002 vom 28. März 2003 E. 1.2, teilweise publ. in: BGE 129 II 215).</w:t>
      </w:r>
    </w:p>
    <w:p>
      <w:r>
        <w:rPr>
          <w:b/>
        </w:rPr>
        <w:t>E. 3.1</w:t>
      </w:r>
    </w:p>
    <w:p>
      <w:r>
        <w:t>In formeller Hinsicht macht der Beschwerdeführer geltend, die angefochtene Verfügung sei, da vor Ablauf der Beschwerdefrist (recte: der im Abrechnungsentwurf vom 23. Juli 2008 figurierenden Frist) erlassen, für ungültig zu erklären. Zudem behauptet er, dem BFM am 14. August 2008 telefonisch mitgeteilt zu haben, mit dem Abrechnungsentwurf nicht einverstanden zu sein. Sein Einverständnis vom 27. Juli 2008 auf dem Antwortformular zu besagtem Entwurf basiere auf einem Versehen (falsches Ankreuzen der betreffenden Rubriken).</w:t>
      </w:r>
    </w:p>
    <w:p>
      <w:r>
        <w:rPr>
          <w:b/>
        </w:rPr>
        <w:t>E. 3.2</w:t>
      </w:r>
    </w:p>
    <w:p>
      <w:r>
        <w:t>Wie aus dem Sachverhalt hervorgeht, wurde dem Beschwerdeführer am 23. Juli 2008 ein Abrechnungsentwurf über sein Sicherheitskonto unterbreitet. Er erhielt Gelegenheit, das beigelegte Antwortformular bis zum 23. August 2008 ausgefüllt und unterzeichnet zu retournieren, was er bereits am 27. Juli 2008 tat. Bei dieser Sachlage war die Vorinstanz selbstredend nicht gehalten oder verpflichtet, die auf dem fraglichen Antwortformular aufgeführte Ordnungs- bzw. Kontrollfrist abzuwarten. Ein Telefonat des behaupteten Inhalts vom 14. August 2008 ist nicht aktenkundig, änderte im Ergebnis aber so oder so nichts, geht es hier entgegen der Annahme des Beschwerdeführers doch nicht um eine gesetzliche, das heisst unabänderbare (Beschwerde-)frist. Abgesehen davon schränkte ihn das vorinstanzliche Vorgehen in seinen Möglichkeiten, gegen die am 22. August 2008 in Verfügungsform ergangene definitive Abrechnung ein Rechtsmittel zu ergreifen, in keiner Weise ein. Es besteht daher kein Anlass, die angefochtene Verfügung aus formellen Gründen aufzuheben oder gar für ungültig zu erklären.</w:t>
      </w:r>
    </w:p>
    <w:p>
      <w:r>
        <w:rPr>
          <w:b/>
        </w:rPr>
        <w:t>E. 4</w:t>
      </w:r>
    </w:p>
    <w:p>
      <w:r>
        <w:t>Strittig ist vorliegend die Höhe des vom BFM in der Abrechnung vom 22. August 2008 zu Gunsten des Bundes vereinnahmten Betrages, der sich auf insgesamt Fr. 15'000.- (und nicht wie auf Beschwerdeebene behauptet Fr. 19'000.-) beläuft. Soweit der Beschwerdeführer argumentiert, stets gearbeitet und keine Kosten verursacht zu haben, er mithin indirekt die ihm für die Dauer des Asylverfahrens belasteten Sozialhilfeaufwendungen beanstandet, sind seine (unsubstanziierten) Einwände nicht zu hören, wurden die rückerstattungspflichtigen Kosten für diese Zeit in der definitiven Zwischenabrechnung vom 2. Mai 2007 doch verbindlich auf den Betrag von Fr. 4'800.- festgelegt (zur Rechtsnatur rechtskräftiger Zwischenabrechnungen siehe beispielsweise Urteil des Bundesverwaltungsgerichts C-1243/2006 vom 21. Januar 2009 E. 5.1 mit Hinweisen). Gegenstand des hier zu beurteilenden Verfahrens bildet einzig die Frage, ob das fragliche Sicherheitskonto korrekt abgerechnet und aufgelöst wurde.</w:t>
      </w:r>
    </w:p>
    <w:p>
      <w:r>
        <w:rPr>
          <w:b/>
        </w:rPr>
        <w:t>E. 5.1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5.2</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vom 11. August 1999 über Finanzierungsfragen in ihrer ursprünglichen, bis 31. Dezember 2007 geltenden Fassung (AsylV 2, SR 142.312; AS 1999 2318)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5.3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w:t>
      </w:r>
    </w:p>
    <w:p>
      <w:r>
        <w:rPr>
          <w:b/>
        </w:rPr>
        <w:t>E. 5.4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5.5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5.6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6.1</w:t>
      </w:r>
    </w:p>
    <w:p>
      <w:r>
        <w:t>Die vorliegende Streitsache beschlägt die Überführung des alten Sicherheitsleistungssystems mit individueller Abrechnung über zurechenbare Kosten in das neue System der Sonderabgabe. Der Beschwerdeführer äufnete noch unter der Geltung des alten Rechts sein Sicherheitskonto mit Lohnabzügen, zunächst als Asylsuchender, später als vorläufig aufgenommene Person. Beim Statuswechsel zur vorläufigen Aufnahme wurde für sein Sicherheitskonto eine Zwischenabrechnung erstellt. Darin wurden die bis zu diesem Zeitpunkt rückerstattungspflichtigen Kosten auf Fr. 4'800.- festgesetzt und für die Schlussabrechnung vorgemerkt. Zur Schlussabrechnung kam es mangels Verwirklichung eines Schlussabrechnungsgrundes nicht mehr. Die Vorinstanz sah sich daher nach dem Inkrafttreten des neuen Rechts veranlasst, das Sicherheitskonto gestützt auf Abs. 6 bis 8 der Übergangsbestimmungen zur Änderung der AsylV 2 aufzulösen. Zu diesem Zweck erliess sie die angefochtene Verfügung. Darin wurden vom fraglichen Sicherheitskonto, welches einen Stand von Fr. 14'258.45 aufwies, noch Fr. 10'200.- zu Gunsten des Bundes eingezogen. In Bezug auf das Restguthaben (Fr. 4'058.45) ordnete das BFM die Auszahlung an den Beschwerdeführer an. Der vereinnahmte Betrag von Fr. 10'200.- versteht sich dabei als Differenz zwischen dem Maximalbetrag der Sonderabgabe von Fr. 15'000.- einerseits und dem im Rahmen der Zwischenabrechnung zwecks Kostendeckung bereits eingezogenen Betrag von Fr. 4'800.- andererseits.</w:t>
      </w:r>
    </w:p>
    <w:p>
      <w:r>
        <w:rPr>
          <w:b/>
        </w:rPr>
        <w:t>E. 6.2</w:t>
      </w:r>
    </w:p>
    <w:p>
      <w:r>
        <w:t>Das Bundesverwaltungsgericht hat sich in einem vergleichbaren Fall in einem Grundsatzurteil inzwischen zur rechtssatzmässigen Ausgestaltung der Sonderabgabe, den entsprechenden Übergangsbestimmungen sowie der konkreten Handhabung einzelner Verordnungsbestimmungen geäussert und befunden, die getroffene Regelung erweise sich als verfassungskonform und der Bundesrat habe seine Verordnungskompetenz delegationskonform wahrgenommen (zum Ganzen vgl. Urteil des Bundesverwaltungsgerichts C-7179/2008 vom 21. Dezember 2010 E. 3 und 6). Auch im konkreten Fall ist die Vorinstanz rechtmässig vorgegangen. Da der Beschwerdeführer erst nach dem 1. Januar 2008 eine Aufenthaltsbewilligung erhielt, wurde - wie angetönt - korrekterweise das neue Recht angewendet und der Betroffene der Sonderabgabepflicht unterstellt. Der teilsaldierte Betrag von Fr. 4'800.- aus der Zwischenabrechnung wurde hierbei vollumfänglich an die zu leistende Sonderabgabe von Fr. 15'000.- angerechnet und der noch offene Betrag von Fr. 10'200.- dem BFM gutgeschrieben. Das Restguthaben gelangte zur Auszahlung (siehe ebenfalls E. 6.1. hiervor). Der Beschwerdeführer nimmt in seinem nur rudimentär begründeten Rechtsmittel wenig Bezug auf die angefochtene Verfügung. Soweit seine Einwände auf eine Überprüfung der individuellen Festlegung der rückerstattungspflichtigen Kosten hinauslaufen, erweisen sie sich zum Vornherein als unbehelflich, erfolgt doch die Auflösung der nicht schlussabrechnungsfähigen Sicherheitskonten, wie an anderer Stelle dargetan, ohne dass eine individuelle Abrechnung über die zurechenbaren Kosten vorzunehmen wäre (vgl. Urteil des Bundesverwaltungsgerichts C-7179/2008 vom 21. Dezember 2010 E. 6.2.4 und 6.3.2). Sonstiges wird nicht geltend gemacht.</w:t>
      </w:r>
    </w:p>
    <w:p>
      <w:r>
        <w:rPr>
          <w:b/>
        </w:rPr>
        <w:t>E. 7</w:t>
      </w:r>
    </w:p>
    <w:p>
      <w:r>
        <w:t>Abschliessend ist festzuhalten, dass die angefochtene Verfügung im Lichte von Art. 49 VwVG nicht zu beanstanden ist. Die Beschwerde ist deshalb abzuweisen.</w:t>
      </w:r>
    </w:p>
    <w:p>
      <w:r>
        <w:rPr>
          <w:b/>
        </w:rPr>
        <w:t>E. 8</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