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C-6018/2010 vom 4. April 2012</w:t>
      </w:r>
    </w:p>
    <w:p>
      <w:r>
        <w:t>Bundesverwaltungsgericht, 2012-04-04, IT</w:t>
      </w:r>
    </w:p>
    <w:p>
      <w:r>
        <w:rPr>
          <w:b/>
        </w:rPr>
        <w:t xml:space="preserve">Quelle: </w:t>
      </w:r>
      <w:r>
        <w:t>https://mcp.opencaselaw.ch/entscheid/bvger_C-6018_2010</w:t>
      </w:r>
    </w:p>
    <w:p>
      <w:r>
        <w:t>FR: TAF C-6018/2010 du 4 avril 2012</w:t>
      </w:r>
    </w:p>
    <w:p>
      <w:r>
        <w:t>IT: TAF C-6018/2010 del 4 aprile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statuisce in via definitiva (cfr. art. 83 lett. c. cifra 1 della legge sul Tribunale federale [LTF, RS 173.110]).</w:t>
      </w:r>
    </w:p>
    <w:p>
      <w:r>
        <w:rPr>
          <w:b/>
        </w:rPr>
        <w:t>E. 1.3</w:t>
      </w:r>
    </w:p>
    <w:p>
      <w:r>
        <w:t>Salvo i casi in cui la LTAF non disponga altrimenti, la procedura davan­ti al Tribunale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la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al momento del giudizio (cfr. DTAF 2011/1 consid. 2 e giurisprudenza ivi citata).</w:t>
      </w:r>
    </w:p>
    <w:p>
      <w:r>
        <w:rPr>
          <w:b/>
        </w:rPr>
        <w:t>E. 3</w:t>
      </w:r>
    </w:p>
    <w:p>
      <w:r>
        <w:t>Occorre innanzitutto ricordare che il Tribunale esamina i rapporti di diritto sui quali si è pronunciata la competente autorità amministrativa nella decisione impugnata, la quale determina l'oggetto del contendere (cfr. segnatamente DTF 134 V 418 consid. 5.2.1, 131 II 200 consid. 3 e 125 V 413 consid. 1 e 2 nonché riferimenti ivi citati). Di principio, il Tribunale non può esaminare le censure che esulano dall'oggetto della decisione impugnata. In concreto il contenuto della decisione porta sul divieto d'entrata emesso il 1° giugno 2010. La conclusione della ricorrente tendente al risarcimento di tutti i danni, sia economici che morali che ha subito, è pertanto irricevibile in quanto esula dall'oggetto del litigio (cfr. DTF 134 precitato e sentenza del Tribunale federale 8C_627/2009 dell'8 giugno 2010).</w:t>
      </w:r>
    </w:p>
    <w:p>
      <w:r>
        <w:rPr>
          <w:b/>
        </w:rPr>
        <w:t>E. 4.1</w:t>
      </w:r>
    </w:p>
    <w:p>
      <w:r>
        <w:t>Il 12 dicembre 2008 sono entrati in vigore gli accordi relativi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4.2</w:t>
      </w:r>
    </w:p>
    <w:p>
      <w:r>
        <w:t>Di principio, un cittadino di un Paese terzo, che risiede regolarmente in una Parte contraente, ha il diritto di circolare liberamente in tutto lo spazio Schengen senza dover richiedere un'autoriz­zazione d'ingresso alla relativa ambasciata. Occorre che sia in possesso di un titolo di soggiorno duraturo e di un docu­mento di viaggio riconosciuto, entrambi validi (cfr. art. 5 cpv. 1 lett. b ultima frase del regolamen­to [CE] n. 562/2006 del Parla­mento europeo e del Consiglio, del 15 marzo 2006 che istituisce un codice comunitario relativo al regime di attraversamento delle frontiere da parte delle persone [Codice frontie­re Schengen, GU L 105 del 13 aprile 2006, pag. 1-32]).</w:t>
      </w:r>
    </w:p>
    <w:p>
      <w:r>
        <w:rPr>
          <w:b/>
        </w:rPr>
        <w:t>E. 5.1</w:t>
      </w:r>
    </w:p>
    <w:p>
      <w:r>
        <w:t>A seguito dello sviluppo dell'acquis di Schengen, con effetto a decorrere dal 1° gennaio 2011, è stato modificato l'art. 67 LStr, disposizione che disciplina il divieto d'entrata (Decreto federale che approva e traspone nel diritto svizzero lo scambio di note tra la Svizzera e la CE concernente il recepimento della direttiva CE sul rimpatrio [direttiva 2008/115/CE] RU 2010 5925 e FF 2009 7737).</w:t>
      </w:r>
    </w:p>
    <w:p>
      <w:r>
        <w:rPr>
          <w:b/>
        </w:rPr>
        <w:t>E. 5.2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6.1</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 anche sentenza del TAF C-2482/2009 del 28 gennaio 2010, consid. 6.2, pag. 10 e DTAF 2009/3 consid. 3.2, pag. 29 seg.). In concreto ne discende che alla presente causa è applicabile il nuovo diritto essendo il divieto d'entrata emanato nei confronti della ricorrente tuttora effettivo.</w:t>
      </w:r>
    </w:p>
    <w:p>
      <w:r>
        <w:rPr>
          <w:b/>
        </w:rPr>
        <w:t>E. 6.2</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questi principi (cfr. FF 2009 7752), in definitiva non vi sono mutamenti sostanziali.</w:t>
      </w:r>
    </w:p>
    <w:p>
      <w:r>
        <w:rPr>
          <w:b/>
        </w:rPr>
        <w:t>E. 7.1</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 In questo senso l'art. 80 cpv. 1 lett. a dell'ordinanza del 24 ottobre 2007 sull'ammissione, il soggiorno e l'attività lucrativa (OASA, RS 1421.201) statuisce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w:t>
      </w:r>
    </w:p>
    <w:p>
      <w:r>
        <w:rPr>
          <w:b/>
        </w:rPr>
        <w:t>E. 7.2</w:t>
      </w:r>
    </w:p>
    <w:p>
      <w:r>
        <w:t>Le violazioni di prescrizioni in materia d'entrata in Svizzera possono dunque condurre all'emissione di un divieto d'entrata (cfr. anche art. 115 segg. LStr in relazione con l'art. 67 cpv. 2 lett. a LStr).</w:t>
      </w:r>
    </w:p>
    <w:p>
      <w:r>
        <w:rPr>
          <w:b/>
        </w:rPr>
        <w:t>E. 8.1</w:t>
      </w:r>
    </w:p>
    <w:p>
      <w:r>
        <w:t>Nella presente fattispecie, l'autorità ha emesso una decisione di divieto d'entrata nei confronti della ricorrente per violazione e minaccia della sicurezza e dell'ordine pubblico conformemente al previgente art. 67 cpv. 1 lett. a LStr (cfr. attuale art. 67 cpv. 2 lett. a LStr). A mente dell'autorità inferiore l'interessata ha violato le prescrizioni d'entrata in Svizzera poiché si prestava ad entrarvi con un passaporto falso in vista di ingannare le autorità. La ricorrente contesta con veemenza tale conclusione.</w:t>
      </w:r>
    </w:p>
    <w:p>
      <w:r>
        <w:rPr>
          <w:b/>
        </w:rPr>
        <w:t>E. 8.2</w:t>
      </w:r>
    </w:p>
    <w:p>
      <w:r>
        <w:t>Innanzitutto il Tribunale rammenta che, seppure di principio i fatti giuridicamente rilevanti siano esaminati d'ufficio dalle autorità amministrative, le parti sono tenute a collaborare al fine di accertare le prove giuridicamente rilevanti conformemente all'art. 13 PA (cfr. DTF 115 V 133 consid. 8a). In particolare, incombe al ricorrente di fornire le prove qualora non ve ne siano o qualora non si possa ragionevolmente esigere che l'autorità le fornisca in conformità alla regola universale dell'onere della prova di cui all'art. 8 del Titolo preliminare del Codice civile svizzero del 10 dicembre 1907 (CC, RS 210). Nel caso di mancata collaborazione sarà il ricorrente a subirne le conseguenze (cfr. DTF 125 V 133 consid. 2, 122 II 385 consid. 4c/cc, 114 Ia 1 consid. 8c).</w:t>
      </w:r>
    </w:p>
    <w:p>
      <w:r>
        <w:rPr>
          <w:b/>
        </w:rPr>
        <w:t>E. 8.3</w:t>
      </w:r>
    </w:p>
    <w:p>
      <w:r>
        <w:t>Ora, dalle risultanze agli atti emerge che in base al rapporto di accertamento del 30 marzo 2010 il passaporto dell'interessata presentava una contraffazione riguardante la data di nascita, ovvero un'abrasione chimica (cfr. predetto rapporto di accertamento del 30 marzo 2010, pag. 2). Dal canto suo l'interessata sostiene che al momento del controllo presso gli Uffici doganali svizzeri, il 30 marzo 2010, era intervenuto un funzionario dell'Ambasciata della Repubblica della Costa d'Avorio in Italia, il quale aveva garantito la regolarità del passaporto. Lo stesso, in un secondo tempo, era pure stato ritenuto perfettamente legittimo dall'Ambasciata della Repubblica della Costa d'Avorio in Italia. Nell'atto ricorsuale del 27 settembre 2010 la ricorrente dichiara che a conferma della bontà, regolarità e legittimità del proprio passaporto, anche l'Ambasciata della Costa d'Avorio in Berna si era attivata svariate volte presso le competenti autorità svizzere. Tuttavia nessuna prova concreta emerge dagli atti di causa che sia in grado di avvalorare le allegazioni della ricorrente: in particolare non è stata prodotta alcuna dichiarazione delle menzionate Ambasciate della Repubblica della Costa d'Avorio in Svizzera e in Italia che corrobori quanto preteso dall'interessata. Neppure i vari contatti che sarebbero avvenuti tra l'Ambasciata della Costa d'Avorio a Berna e le autorità svizzere sono attestati da prove concrete. Occorre dunque constatare che quanto sostenuto dell'interessata non oltrepassa lo stadio delle mere affermazioni. Tenuto conto del fatto che la ricorrente non ha esibito prove concrete in merito alla legittimità del suo passaporto, il Tribunale giunge alla conclusione che - in base al rapporto di accertamento - detto documento non può essere ritenuto valido.</w:t>
      </w:r>
    </w:p>
    <w:p>
      <w:r>
        <w:rPr>
          <w:b/>
        </w:rPr>
        <w:t>E. 8.4</w:t>
      </w:r>
    </w:p>
    <w:p>
      <w:r>
        <w:t>Nella specie, visto il titolo di soggiorno italiano di durata illimitata di cui è beneficiaria la ricorrente, quest'ultima avrebbe avuto il diritto di circolare in tutto lo spazio Schengen nella misura in cui fosse stata in possesso di un documento di viaggio valido. Data l'irregolarità del suo passaporto, la ricorrente non era legittimata a varcare il confine svizzero (cfr. art. 5 cpv. 1 lett. a LStr in relazione con l'art. 64 cpv. 1 lett. b LStr). Considerate le circostanze del caso concreto, vi è dunque motivo di ritenere una violazione delle prescrizioni di legge ai sensi dell'art. 80 cpv. 1 lett. a dell'ordinanza del 24 ottobre 2007 sull'ammissione, il soggiorno e l'attività lucrativa (OASA, RS 142.20).</w:t>
      </w:r>
    </w:p>
    <w:p>
      <w:r>
        <w:rPr>
          <w:b/>
        </w:rPr>
        <w:t>E. 9</w:t>
      </w:r>
    </w:p>
    <w:p>
      <w:r>
        <w:t>Essendo la decisione di divieto d'entrata confermata nel suo prin­cipio, resta ora da stabilire se la durata della misura di allontanamento adottata dall'UFM, prevista per un periodo di 3 anni, è adeguata alle circostanze del caso concreto (cfr. art. 49 lett. c PA). 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della ricorrente a potervi entrare. Rilevanti sono le particolarità del comportamento illecito, la situazione persona­le della persona interessata e la rilevanza del bene giuridico minacciato o violato (cfr. Ulrich Häfelin/Georg Müller/Felix Uhlmann, Allge­meines Verwaltungsrecht, 6a ed. integralmente rielaborata, Zurigo/St. Gallo 2010, cifra 581 segg.).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Di principio l'interesse pubblico al mantenimento di provvedimenti amministrativi nel contesto della polizia degli stranieri è da considerarsi elevato.</w:t>
      </w:r>
    </w:p>
    <w:p>
      <w:r>
        <w:rPr>
          <w:b/>
        </w:rPr>
        <w:t>E. 9.1</w:t>
      </w:r>
    </w:p>
    <w:p>
      <w:r>
        <w:t>Per quanto riguarda l'interesse privato di A._______ dalle risultanze agli atti non emergono elementi idonei a considerarlo preponderante. Concretamente essa non ha dimostrato di avere stretti legami con la Svizzera.</w:t>
      </w:r>
    </w:p>
    <w:p>
      <w:r>
        <w:rPr>
          <w:b/>
        </w:rPr>
        <w:t>E. 9.2</w:t>
      </w:r>
    </w:p>
    <w:p>
      <w:r>
        <w:t>Il Tribunale ritiene pertanto che l'interesse pubblico all'allontanamen­to della ricorrente dalla Svizzera per un periodo di tre anni prevalga su quello privato di quest'ultima ad entrarvi.</w:t>
      </w:r>
    </w:p>
    <w:p>
      <w:r>
        <w:rPr>
          <w:b/>
        </w:rPr>
        <w:t>E. 10</w:t>
      </w:r>
    </w:p>
    <w:p>
      <w:r>
        <w:t>Ne discende che l'UFM con decisione del 1° giugno 2010 non ha violato il diritto federale, né abusato nel suo potere d'apprezzamento,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sono poste a carico della parte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