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C-6017/2010 vom 19. April 2011</w:t>
      </w:r>
    </w:p>
    <w:p>
      <w:r>
        <w:t>Bundesverwaltungsgericht, 2011-04-19, DE</w:t>
      </w:r>
    </w:p>
    <w:p>
      <w:r>
        <w:rPr>
          <w:b/>
        </w:rPr>
        <w:t xml:space="preserve">Quelle: </w:t>
      </w:r>
      <w:r>
        <w:t>https://mcp.opencaselaw.ch/entscheid/bvger_C-6017_2010</w:t>
      </w:r>
    </w:p>
    <w:p>
      <w:r>
        <w:t>FR: TAF C-6017/2010 du 19 avril 2011</w:t>
      </w:r>
    </w:p>
    <w:p>
      <w:r>
        <w:t>IT: TAF C-6017/2010 del 19 aprile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BGG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In formeller Hinsicht rügt die Beschwerdeführerin vorab, die angefochtene Verfügung sei nicht begründet worden. Sie enthalte lediglich den Hinweis, wonach ein Verstoss gegen eine gesetzliche Bestimmung (Art. 67 Abs. 1 Bst. a AuG) vorliege. Inwiefern die Beschwerdeführerin gegen Einreisevorschriften verstossen haben solle und aus welchen Gründen die Vorinstanz gerade eine zweijährige Fernhaltemassnahme verhängt habe, ergebe sich nicht aus der Verfügung. Ferner sei die Verfügung nicht unterschrieben und somit auch deshalb nicht rechtsgültig.</w:t>
      </w:r>
    </w:p>
    <w:p>
      <w:r>
        <w:rPr>
          <w:b/>
        </w:rPr>
        <w:t>E. 3.1</w:t>
      </w:r>
    </w:p>
    <w:p>
      <w:r>
        <w:t>Der in Art. 29 Abs. 2 der Bundesverfassung der Schweizerischen Eidgenossenschaft vom 18. April 1999 (BV, SR 101) garantierte und in Art. 29 ff. VwVG für das Bundesverwaltungsverfahren konkretisierte Grundsatz des rechtlichen Gehörs umfasst unter anderem die Pflicht der Behörde, ihre Verfügung zu begründen (vgl. Art. 35 Abs. 1 VwVG, sowie BVGE 2007/21 E. 10.2 mit Hinweisen).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136 I 184 E. 2.2.1 S. 188 mit weiteren Hinweisen; vgl. auch BVGE 2010/35 E. 4.1.2 mit Hinweisen, sowie Lorenz Kneubühler, in: Christoph Auer/Markus Müller/Benjamin Schindler [Hrsg.], Kommentar zum Bundesgesetz über das Verwaltungsverfahren [VwVG], Zürich/St. Gallen 2008, Rz. 4 ff. und insb. 9 ff. zu Art. 35 VwVG).</w:t>
      </w:r>
    </w:p>
    <w:p>
      <w:r>
        <w:rPr>
          <w:b/>
        </w:rPr>
        <w:t>E. 3.2</w:t>
      </w:r>
    </w:p>
    <w:p>
      <w:r>
        <w:t>Die Begründung der angefochtenen Verfügung ist wohl knapp ausgefallen. Es geht daraus aber ohne weiteres hervor, aus welchem Grund ("séjour illegal") die Vorinstanz ein Einreiseverbot für angezeigt erachtete. Hinzu kommt der Verweis auf die zur Anwendung gelangende Rechtsgrundlage. Unabhängig davon, was auf dem Grenzkontrollrapport vom 22. April 2010 festgehalten wurde ("... cette personne séjourne sans autorisation depuis le 10.11.2009"), worauf sich die Vorinstanz - entgegen den Vorbringen der Beschwerdeführerin - im Übrigen nicht explizit abstützte, wusste die Beschwerdeführerin auch genau, auf welchen Zeitraum sich der illegale Aufenthalt bezog. Bei der Gewährung des rechtlichen Gehörs bezüglich Wegweisung und Fernhaltemassnahme vom 22. April 2010 am Flughaben Genf gab sie nämlich zu Protokoll, sie habe bei der Einreise nicht realisiert, dass sie nur drei Monate bleiben dürfte ("When I come I did not realize I could only stay for 3 months"). Die Beschwerdeführerin war somit durchaus in der Lage, die Verfügung sachgerecht anzufechten. Insoweit liegt keine Verletzung des rechtlichen Gehörsanspruchs vor (vgl. dazu auch Urteil des Bundesverwaltungsgerichts C-785/2010 vom 9. Dezember 2010 E. 4.2).</w:t>
      </w:r>
    </w:p>
    <w:p>
      <w:r>
        <w:rPr>
          <w:b/>
        </w:rPr>
        <w:t>E. 3.3</w:t>
      </w:r>
    </w:p>
    <w:p>
      <w:r>
        <w:t>Dass die Vorinstanz in der angefochtenen Verfügung nicht auf die individuellen Verhältnisse der Beschwerdeführerin einging (Krankheit, Freund in Genf), kann ihr nicht vorgeworfen werden. Schliesslich wäre es an der Beschwerdeführerin selbst gelegen, darauf hinzuweisen, als ihr vor der Ausreise Gelegenheit gegeben wurde, sich zur angekündigten Fernhaltemassnahme zu äussern. Selbst wenn man jedoch aufgrund dessen von einer Verletzung der Begründungspflicht und damit des Gehörsanspruchs ausginge, so wäre eine solche - nicht als schwerwiegend zu qualifizierende - Verletzung als nachträglich geheilt zu betrachten (vgl. Urteil des Bundesverwaltungsgerichts C-785/2010 vom 9. Dezember 2010 E. 4.3 mit Hinweisen). Die Beschwerdeführerin hat bereits in der Rechtsmitteleingabe vom 24. August 2010 entsprechende Einwände vorgebracht. Die Vorinstanz ihrerseits hat im Rahmen ihrer Vernehmlassung - zumindest teilweise - auf die persönlichen Verhältnisse Bezug genommen und die Beschwerdeführerin konnte im Rahmen des ihr gewährten Replikrechts ihren Standpunkt nochmals erläutern. Das zur Überprüfung der angefochtenen Verfügung angerufene Bundesverwaltungsgericht verfügt zudem über dieselbe Kognition wie die Vorinstanz und ist zur freien Prüfung aller Sachverhalts- und Rechtsfragen befugt.</w:t>
      </w:r>
    </w:p>
    <w:p>
      <w:r>
        <w:rPr>
          <w:b/>
        </w:rPr>
        <w:t>E. 3.4</w:t>
      </w:r>
    </w:p>
    <w:p>
      <w:r>
        <w:t>Schliesslich stellt - entgegen den Vorbringen der Beschwerdeführerin - die Unterschrift von Bundesrechts wegen kein Gültigkeitserfordernis für eine Verfügung dar (vgl. zum Ganzen Urteil des Bundesverwaltungsgerichts C-1346/2010 vom 14. Januar 2011 E. 3.2 mit Hinweisen). Der Unterschrift bei Verfügungen kommt lediglich eine Beweis- sowie eine Identifikationsfunktion zu. Bei Einreiseverboten handelt es sich um Verfügungen, welche in grosser Zahl (über 10'000 Verfügungen jährlich) erlassen werden und welche bei der Ausstellung und der Eröffnung grosse Unterschiede zur Mehrzahl der im Verwaltungsverfahren erlassenen Verfügungen aufweisen. Ein Einreiseverbot wird immer von einem aufgrund des Pflichtenheftes dazu berechtigten Mitarbeiter des BFM erlassen. Die entsprechende Verfügung wird dazu elektronisch im Zentralen Migrationsinformationssystem (ZEMIS) erfasst, wobei eine Zuordnung zu einem bestimmten Mitarbeiter aufgrund der elektronischen Protokollierung im ZEMIS jederzeit gewährleistet ist. Dieser Mitarbeiter wird in der Referenz (Referenz/Aktenzeichen) der Verfügung mit seinem Kürzel genannt und ist daher jederzeit identifizierbar. Zudem kann der Verfügungsadressat nachträglich eine eigenhändig unterschriebene Verfügung verlangen. Das Aktenzeichen mit Kürzel ist mit Blick auf die Identifikationsfunktion einer Faksimileunterschrift, welche gemäss bundesgerichtlicher Rechtsprechung eine Originalunterschrift ersetzen kann (vgl. BGE 97 IV 205 E. 1), gleichwertig. Die Form der Verfügung ist somit auch im vorliegenden Fall als rechtsgenüglich zu erachten.</w:t>
      </w:r>
    </w:p>
    <w:p>
      <w:r>
        <w:rPr>
          <w:b/>
        </w:rPr>
        <w:t>E. 4</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Auf den 1. Januar 2011 trat als Folge der Weiterentwicklung des Schengen-Besitzstandes eine neue Fassung des in Art. 67 AuG geregel­ten Einreiseverbots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Da der bisherige Art. 67 Abs. 1 Bst. a AuG mit dem neuen Art. 67 Abs. 2 Bst. a AuG identisch ist und vorliegend kein Einreiseverbot mit einer Dauer von mehr als fünf Jahren zur Diskussion steht, ändert sich für die Beschwerdeführerin im Ergebnis ohnehin nichts.</w:t>
      </w:r>
    </w:p>
    <w:p>
      <w:r>
        <w:rPr>
          <w:b/>
        </w:rPr>
        <w:t>E. 5.2</w:t>
      </w:r>
    </w:p>
    <w:p>
      <w:r>
        <w:t>Das Einreiseverbot ist keine Sanktion für vergangenes Fehlverhalten, sondern eine Massnahme zur Abwendung künftiger Störungen der öffent­lichen Sicherheit und Ordnung (siehe Botschaft zum Bundesgesetz über Ausländerinnen und Ausländer vom 8. März 2002, BBl 2002 3813). Die öffentliche Sicherheit und Ordnung im Sinne von Art. 67 Abs. 1 Bst. a AuG (seit dem 1. Januar 2011: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In diesem Sinne liegt nach Art. 80 Abs. 1 Bst. a VZAE ein Verstoss gegen die öffentliche Sicherheit und Ordnung unter anderem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6.1</w:t>
      </w:r>
    </w:p>
    <w:p>
      <w:r>
        <w:t>Gemäss Eintrag in ihrem Reisepass (Einreisestempel) reiste die Beschwerdeführerin am 10. November 2009 via Genf in den Schengenraum ein, womit der bewilligungsfreie 90-tägige Aufenthalt spätestens am 10. Februar 2010 ablief. Unbestrittenermassen dauerte ihr Aufenthalt in der Schweiz aber noch bis zum 22. April 2010. Es steht somit fest, dass sie die bewilligungsfreie Aufenthaltsdauer um zwei Monate und 12 Tage überschritten und sich dadurch widerrechtlich in der Schweiz bzw. im Schengenraum aufgehalten hat. Ob es ihr bewusst war, sich widerrechtlich in der Schweiz aufgehalten zu haben, ist für die Verhängung eines Einreiseverbots grundsätzlich unerheblich, weil ein vorsätzlicher Verstoss gegen ausländerrechtliche Bestimmungen dafür nicht erforderlich ist. Es genügt, wenn ihr - wie im vorliegenden Fall - eine Sorgfaltspflichtverletzung zugerechnet werden kann. Jeder Ausländerin und jedem Ausländer obliegt es nämlich, sich über bestehende Rechte und Pflichten im Zusammenhang mit ausländerrechtlichen Vorschriften ins Bild zu setzen und sich im Falle von Unklarheiten gegebenenfalls bei den zuständigen Stellen zu informieren (vgl. Urteil des Bundesverwaltungsgerichts C-4338/2008 vom 30. Dezember 2009 E. 5.2 mit Hinweisen). Dass die Beschwerdeführerin wegen ihres illegalen Aufenthalts nicht strafrechtlich zur Verantwortung gezogen worden ist, spielt ebenfalls keine Rolle. Denn das Einreiseverbot knüpft nicht an die Erfüllung einer Strafnorm, sondern an das Vorliegen einer Polizeigefahr an. Ob eine solche besteht und wie sie zu gewichten ist, hat die Behörde in eigener Kompetenz unter Zugrundelegung spezifisch ausländerrechtlicher Kriterien zu beurteilen (vgl. Urteil des Bundesverwaltungsgerichts C-131/2006 vom 21. Februar 2007 E. 7).</w:t>
      </w:r>
    </w:p>
    <w:p>
      <w:r>
        <w:rPr>
          <w:b/>
        </w:rPr>
        <w:t>E. 6.2</w:t>
      </w:r>
    </w:p>
    <w:p>
      <w:r>
        <w:t>Im vorliegenden Fall hat die Beschwerdeführerin mit der nicht unerheblichen Überschreitung des bewilligungsfreien Aufenthalts gegen ausländerrechtliche Vorschriften von zentraler Bedeutung verstossen, womit die Voraussetzungen für ein Einreiseverbot gemäss Art. 67 Abs. 1 Bst. a AuG in der Fassung vom 1. Januar 2008 bzw. Art. 67 Abs. 2 Bst. a AuG in der Fassung vom 1. Januar 2011 erfüllt sind.</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Haefelin/Georg Müller/Felix Uhlmann, Allgemeines Verwaltungsrecht, 5. Aufl., Zürich/Basel/Genf/St. Gallen 2006, Rz. 613 ff.).</w:t>
      </w:r>
    </w:p>
    <w:p>
      <w:r>
        <w:rPr>
          <w:b/>
        </w:rPr>
        <w:t>E. 7.2</w:t>
      </w:r>
    </w:p>
    <w:p>
      <w:r>
        <w:t>An der Einhaltung der fremdenpolizeilichen Ordnung im Allgemeinen und der Vorschriften über Einreise, Aufenthalt und Erwerbstätigkeit im Besonderen besteht ein gewichtiges öffentliches Interesse. Das Einreiseverbot wirkt hier einerseits präventiv, indem sie andere Ausländerinnen und Ausländer angesichts der nachteiligen Folgen dazu anhält, sich an die fremdenpolizeiliche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fremdenpolizeilichen Ordnung Nachachtung zu verschaffen (vgl. Urteil des Bundesverwaltungsgerichts C-7543/2007 vom 18. März 2008 E. 7.2 mit Hinweisen).</w:t>
      </w:r>
    </w:p>
    <w:p>
      <w:r>
        <w:rPr>
          <w:b/>
        </w:rPr>
        <w:t>E. 7.3</w:t>
      </w:r>
    </w:p>
    <w:p>
      <w:r>
        <w:t>In Bezug auf die Verhältnismässigkeit der gegen die Beschwerdeführerin verhängten Fernhaltemassnahme wird insbesondere vorgebracht, aufgrund ihres gesundheitlichen Zustandes sei ihr eine Ausreise nach Ablauf der bewilligungsfreien Aufenthaltsdauer nicht möglich gewesen. Wenn es ihr tatsächlich nicht möglich gewesen wäre, die Schweiz rechtzeitig zu verlassen, wäre sie - wie die Vorinstanz in ihrer Vernehmlassung zutreffend festhielt - gehalten gewesen, sich an die zuständige kantonale Migrationsbehörde zu wenden und eine entsprechende (temporäre) Bewilligung einzuholen, was sie aber unterlassen hat. Dass sie dazu im Stande gewesen wäre, ist nicht zu bestreiten. Schliesslich war sie nicht hospitalisiert und konnte sich mit Hilfe ihres Freundes auch drei Mal in ärztliche Behandlung begeben. Auf die gleiche Weise hätte sie sich bei der zuständigen Migrationsbehörde melden können. Hinzu kommt, dass für sie bereits im Jahre 2008 versucht wurde, im Kanton Genf eine Aufenthaltsbewilligung zwecks Aufnahme einer Erwerbstätigkeit zu erhalten (vgl. das von ihr selbst unterzeichnete Formulargesuch vom 12. August 2008 in den kantonalen Akten). Der Umgang mit kantonalen Migrations- und Arbeitsmarktbehörden ist demnach für die Beschwerdeführerin nichts Neues.</w:t>
      </w:r>
    </w:p>
    <w:p>
      <w:r>
        <w:rPr>
          <w:b/>
        </w:rPr>
        <w:t>E. 7.4</w:t>
      </w:r>
    </w:p>
    <w:p>
      <w:r>
        <w:t>Als Beeinträchtigung der persönlichen Interessen macht die Beschwerdeführerin ferner die Liebesbeziehung zu ihrem Freund in Genf geltend. Diesbezüglich gilt es festzuhalten, dass es ihr auch bei einer Aufhebung des Einreiseverbots nicht möglich wäre, sich dauernd bei ihrem Freund in der Schweiz aufzuhalten. Im Übrigen können die persönlichen Kontakte auch auf andere Weise als durch Besuche in der Schweiz gepflegt werden (Briefverkehr, Telefonate, Internet oder durch Reisen des Freundes in den Aufenthaltsstaat der Beschwerdeführerin). Ausserdem gilt das Einreiseverbot nicht absolut. Der Beschwerdeführerin steht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C-8229/2008 vom 8. Juli 2009 E. 6.4 mit Hinweisen).</w:t>
      </w:r>
    </w:p>
    <w:p>
      <w:r>
        <w:rPr>
          <w:b/>
        </w:rPr>
        <w:t>E. 7.5</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 Sie entspricht auch der Praxis in vergleichbaren Fällen. So hat das Bundesverwaltungsgericht unlängst ein zweijähriges Einreiseverbot für das Überschreiten der bewilligungsfreien Aufenthaltsdauer um etwas mehr als 30 Tage bestätigt (vgl. Urteil des Bundesverwaltungsgerichts C-1667/2010 vom 21. März 2011). Es liegen keine besonderen Gründe vor, die es rechtfertigen würden, in casu von der bisherigen Praxis abzuweichen.</w:t>
      </w:r>
    </w:p>
    <w:p>
      <w:r>
        <w:rPr>
          <w:b/>
        </w:rPr>
        <w:t>E. 8</w:t>
      </w:r>
    </w:p>
    <w:p>
      <w:r>
        <w:t>Aus diesen Erwägungen ergibt sich, dass die angefochtene Verfügung im Lichte von Art. 49 VwVG nicht zu beanstanden ist. Die Beschwerde ist deshalb abzuweisen.</w:t>
      </w:r>
    </w:p>
    <w:p>
      <w:r>
        <w:rPr>
          <w:b/>
        </w:rPr>
        <w:t>E. 9</w:t>
      </w:r>
    </w:p>
    <w:p>
      <w:r>
        <w:t>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