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C-6010/2009 vom 12. August 2010</w:t>
      </w:r>
    </w:p>
    <w:p>
      <w:r>
        <w:t>Bundesverwaltungsgericht, 2010-08-12, IT</w:t>
      </w:r>
    </w:p>
    <w:p>
      <w:r>
        <w:rPr>
          <w:b/>
        </w:rPr>
        <w:t xml:space="preserve">Quelle: </w:t>
      </w:r>
      <w:r>
        <w:t>https://mcp.opencaselaw.ch/entscheid/bvger_C-6010_2009</w:t>
      </w:r>
    </w:p>
    <w:p>
      <w:r>
        <w:t>FR: TAF C-6010/2009 du 12 août 2010</w:t>
      </w:r>
    </w:p>
    <w:p>
      <w:r>
        <w:t>IT: TAF C-6010/2009 del 12 agosto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w:t>
      </w:r>
    </w:p>
    <w:p>
      <w:r>
        <w:rPr>
          <w:b/>
        </w:rPr>
        <w:t>E. 1.3</w:t>
      </w:r>
    </w:p>
    <w:p>
      <w:r>
        <w:t>A._______ ha il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4.1</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Le condizioni d'entrata previste dal codice frontiere Schengen corrispondono essenzialmente a quelle di cui all'art. 5 cpv. 1 della legge federale del 16 dicembre 2005 sugli stranieri (LStr, RS 142.20).</w:t>
      </w:r>
    </w:p>
    <w:p>
      <w:r>
        <w:rPr>
          <w:b/>
        </w:rPr>
        <w:t>E. 4.2</w:t>
      </w:r>
    </w:p>
    <w:p>
      <w:r>
        <w:t>L'art. 5 cpv. 2 LStr esige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5</w:t>
      </w:r>
    </w:p>
    <w:p>
      <w:r>
        <w:t>L'art. 1 § 1 e 2 del Regolamento n. 539/2001 del Consiglio del 15 marzo 2001 (GU L 81 del 21 marzo 2001, pag. 1-7) si riferisce agli allegati I e II i quali si distinguono a seconda dell'obbligo del visto: l'allegato I elenca i paesi terzi i cui cittadini sono sottomessi all'obbligo del visto e l'allegato II, quelli i cui cittadini sono liberati da tale obbligo. La Repubblica del Kosovo, recentemente costituitasi, non è elencata in nessun dei due allegati summenzionati (cfr. art. 1 cpv. 1 dell'ordinanza [CE] n. 1244/2009 del Consiglio del 30 novembre 2009 che modifica il regolamento [CE] n. 539/2001, GU L 336 del 18 dicembre 2009. pag. 1-3). I cittadini della Repubblica del Kosovo soggiaciono pertanto all'obbligo del visto indipendentemente dal documento di viaggio di cui sono in possesso.</w:t>
      </w:r>
    </w:p>
    <w:p>
      <w:r>
        <w:rPr>
          <w:b/>
        </w:rPr>
        <w:t>E. 6.1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6.2</w:t>
      </w:r>
    </w:p>
    <w:p>
      <w:r>
        <w:t>A tale proposito è necessario considerare la qualità di vita e le condizioni economiche e sociali a cui è confrontata la popolazione del Kosovo. Con un Prodotto interno lordo (PIL) pro capite di EUR 1760.00 la Repubblica del Kosovo rimane uno dei Paesi più poveri d'Europa. In effetti, seppure negli ultimi anni si siano compiuti dei miglioramenti, il 45 % della popolazione vive al di sotto della soglia della povertà nazionale e il 17 % della popolazione si trova in condizioni di estrema povertà. Il tasso di disoccupazione nel Kosovo corrisponde al 47 % ed il 29 % dei lavoratori è sottoccupato (cfr. &lt;http://www.worldbank.org&gt;, Countries &gt; Europe and Central Asia &gt; Kosovo &gt; Overview &gt; Country Brief 2010, ultimo aggiornamento: aprile 2010, visitato il 21 luglio 2010).</w:t>
      </w:r>
    </w:p>
    <w:p>
      <w:r>
        <w:rPr>
          <w:b/>
        </w:rPr>
        <w:t>E. 6.3</w:t>
      </w:r>
    </w:p>
    <w:p>
      <w:r>
        <w:t>Tenuto conto della situazione socioeconomica del Paese d'origine della richiedente nonché delle differenze tra questo Paese e la Svizzera, la valutazione dell'UFM, secondo cui il rischio di un'uscita non conforme ai termini prestabiliti sia elevato, non può essere contestata. In realtà, a prescindere dal fatto che la predisposizione a lasciare il proprio Paese d'origine è agevolata allorquando parenti o conoscenti si trovano all'estero, la pressione migratoria, come lo dimostra l'esperienza, risulta essere più elevata in presenza di persone giovani che non hanno particolari legami famigliari o professionali al loro Paese d'origine. Ciò nonostante trarre delle conclusioni basandosi unicamente sulla situazione generale del paese d'origine, porterebbe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6.4</w:t>
      </w:r>
    </w:p>
    <w:p>
      <w:r>
        <w:t>Da quanto emerso dalla documentazione agli atti, la richiedente ha 33 anni, è nubile e non ha figli. Nella richiesta di visto formulata il 30 giugno 2009 essa ha dichiarato di essere senza impiego. La richiedente non può dunque far valere alcun vincolo di carattere professionale che le impedirebbe un'eventuale emigrazione. A sostegno del proprio gravame il ricorrente ha dichiarato che l'invitata non aveva richiesto un'autorizzazione d'entrata per un periodo di tre mesi ma unicamente di un mese in quanto deve rientrare in Patria allo scopo di badare al fratello affetto da handicap mentale. Il Tribunale osserva tuttavia che le affermazioni addotte dal ricorrente non sono state comprovate da alcun mezzo di prova, quali ad esempio un certificato medico che attesti lo stato di bisogno del fratello. Infine, si rileva che mentre nel ricorso viene menzionato un unico fratello invalido, dalla dichiarazione di comunione domestica del 2 giugno 2009 risulta che la richiedente per quanto attiene ai famigliari rimasti in Kosovo convive con due fratelli maggiori, nati rispettivamente nel 1963 e 1971, i quali sono entrambi invalidi. Se i vincoli di natura famigliare possono in una certa misura costituire un obbligo per la persona interessata a far rientro in Patria, nella presente fattispecie non si evince dalla documentazione prodotta in che misura l'invalidità dei suoi famigliari necessiti di un sostengo permanente da parte sua e se, di conseguenza, questa situazione sia atta ad ostacolare un'eventuale emigrazione.</w:t>
      </w:r>
    </w:p>
    <w:p>
      <w:r>
        <w:rPr>
          <w:b/>
        </w:rPr>
        <w:t>E. 7.1</w:t>
      </w:r>
    </w:p>
    <w:p>
      <w:r>
        <w:t>Visto quanto precede, il desiderio espresso dal ricorrente, perfettamente comprensibile, di invitare la conoscente B._______ in Svizzera non può costituire di per sé un motivo giustificante la concessione del visto, dal quale fra l'altro la richiedente non può far valere alcun diritto. Tenuto conto del numero importante di domande di concessioni d'autorizzazione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in Svizzera.</w:t>
      </w:r>
    </w:p>
    <w:p>
      <w:r>
        <w:rPr>
          <w:b/>
        </w:rPr>
        <w:t>E. 7.2</w:t>
      </w:r>
    </w:p>
    <w:p>
      <w:r>
        <w:t>Ne discende che l'autorità di prime cure ha rilevato a giusto titolo sulla base della situazione agli atti, che l'uscita dallo spazio Schengen entro i termini stabiliti dopo un soggiorno per visita non è sufficientemente garantita (cfr. art. 5 cpv. 2 LStr). A questo titolo giova sottolineare che la buona fede e l'onestà dell'invitante non sono messe in discussione.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dal ricorrente con la quale egli si porta garante per vitto e alloggio e la successiva dichiarazione del 19 novembre 2009 mediante la quale egli dichiara di assumersi la personale responsabilità che scaduto il termine la richiedente avrebbe fatto ritorno nel suo Paese, non sono tali da impedire alla stessa di intraprendere i passi necessari per stabilirsi durevolmente in Svizzera (cfr. DTAF 2009/27 consid. 9).</w:t>
      </w:r>
    </w:p>
    <w:p>
      <w:r>
        <w:rPr>
          <w:b/>
        </w:rPr>
        <w:t>E. 8</w:t>
      </w:r>
    </w:p>
    <w:p>
      <w:r>
        <w:t>Ne discende che l'UFM con decisione del 31 agosto 2009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