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C-6001/2012 vom 4. Dezember 2013</w:t>
      </w:r>
    </w:p>
    <w:p>
      <w:r>
        <w:t>Bundesverwaltungsgericht, 2013-12-04, FR</w:t>
      </w:r>
    </w:p>
    <w:p>
      <w:r>
        <w:rPr>
          <w:b/>
        </w:rPr>
        <w:t xml:space="preserve">Quelle: </w:t>
      </w:r>
      <w:r>
        <w:t>https://mcp.opencaselaw.ch/entscheid/bvger_C-6001_2012</w:t>
      </w:r>
    </w:p>
    <w:p>
      <w:r>
        <w:t>FR: TAF C-6001/2012 du 4 décembre 2013</w:t>
      </w:r>
    </w:p>
    <w:p>
      <w:r>
        <w:t>IT: TAF C-6001/2012 del 4 dicembre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 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op.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ressortissante iranienne, l'intéressée est soumise à l'obligation du visa.</w:t>
      </w:r>
    </w:p>
    <w:p>
      <w:r>
        <w:rPr>
          <w:b/>
        </w:rPr>
        <w:t>E. 5</w:t>
      </w:r>
    </w:p>
    <w:p>
      <w:r>
        <w:t>Dans la décision querellée, l'ODM a refusé d'autoriser l'entrée de A._______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en Iran sur le plan social et économique. A ce sujet, il faut prendre en considération la qualité de vie et les conditions économiques particulières que connaît l'ensemble de la population de ce pays. S'agissant de la situation économique, les sanctions internationales ont un impact important. Le pays connaît une forte inflation et un taux de chômage élevé (source: le site internet du Ministère allemand des Affaires étrangères : www.auswaertiges-amt.de &gt; Reise und Sicherheit &gt; Reise- und Sicherheitshinweise : Länder A-Z &gt; Iran &gt; Wirtschaftspolitik, état : septembre 2013, consulté en novembre 2013). En outre, le produit intérieur brut par habitant est estimé, pour 2013, à environ 5'000 dollars US pour l'Iran contre environ 80'000 pour la Suisse (source: le site du Fonds monétaire international: www.imf.org &gt; Data and Statistics &gt; World Economic Outlook Databases (WEO) &gt; World Economic Outlook Databases October 2013 &gt; By Countries (country-level data) &gt; All countries, consulté en novembre 2013). En outre, l'indice de développement humain (IDH) 2012, qui prend en compte la santé, l'éducation et le niveau de vie, classe l'Iran au 76ème rang, sur 187 pays, et la Suisse en 9ème position pour la même année (source: le site internet des rapports sur le développement humain du Programme des Nations Unies pour le développement [HDR UNPD]: www.hdr.undp.org &gt; Indices &amp; Données, consulté en novembre 2013).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Dans le cas particulier, le Tribunal constate que A._______ est âgée de soixante-neuf ans et qu'elle vit avec son époux en Iran. Alors que la plupart de ses frères et soeurs ont quitté leur pays d'origine et que ses enfants habitent respectivement en Suisse et en France, elle est toujours restée en Iran, où elle a construit sa vie. Sur un autre plan, il ressort des pièces du dossier que la prénommée est propriétaire de plusieurs biens immobiliers en Iran et qu'elle dispose d'une certaine fortune. Il apparaît donc que l'intéressée bénéficie dans son pays d'un environnement familial certain par la présence de son époux et d'une soeur et de moyens financiers qui paraissent suffisants pour assurer son entretien. En outre, il convient de relever que la recourante a régulièrement rendu visite à son fils en Suisse et qu'elle a toujours respecté les conditions mises à l'obtention de ses visas d'entrée. Enfin, la durée du séjour projeté, trente jours, semble en adéquation avec les motifs invoqués à l'appui de sa demande, soit une visite d'ordre uniquement familial. Ce séjour lui permettra d'ailleurs de rencontrer sa petite-fille, née en août.</w:t>
      </w:r>
    </w:p>
    <w:p>
      <w:r>
        <w:rPr>
          <w:b/>
        </w:rPr>
        <w:t>E. 6.2</w:t>
      </w:r>
    </w:p>
    <w:p>
      <w:r>
        <w:t>L'ODM a émis des doutes quant au retour de l'intéressée dans son pays d'origine en se fondant principalement sur la demande déposée le 14 décembre 2011 (cf. let. B ci-dessus). On ne saurait toutefois attacher une importance déterminante à cette requête, contrairement à l'avis exprimé par l'autorité de première instance. En effet, à teneur de l'ensemble des éléments du dossiers, il convient de remarquer, d'une part, que la recourante a sollicité une autorisation de séjour en Suisse alors que son fils vivait une situation difficile, due notamment à une période de chômage, situation qui a évolué favorablement depuis, en ce sens que B._______ a retrouvé un emploi (cf. contrat de travail du 31 mai 2013) et qu'il est devenu le père d'une fille née le 21 août 2013. Quant à l'état de santé du prénommé, le certificat médical versé au dossier atteste d'une bonne santé habituelle depuis le 15 novembre 2011; d'autre part, rien ne permet de penser, au vu de la situation actuelle du fils de la recourante, que cette dernière envisage une prise de résidence définitive à Genève, en particulier au vu des liens qui la lient encore à son pays (cf. consid. 6.1). C'est le lieu de relever que les liens qui l'unissent à son fils existent depuis avant la demande de regroupement familial et n'ont jamais fait obstacle au retour de l'intéressée dans son pays d'origine. Cette dernière a d'ailleurs déposé sa demande de regroupement familial depuis l'Iran, où elle était retournée après un court séjour en Suisse du 1er au 15 juillet 2011.</w:t>
      </w:r>
    </w:p>
    <w:p>
      <w:r>
        <w:rPr>
          <w:b/>
        </w:rPr>
        <w:t>E. 6.3</w:t>
      </w:r>
    </w:p>
    <w:p>
      <w:r>
        <w:t>Par ailleurs, il est manifeste que les autres conditions cumulatives de l'art. 5 LEtr sont remplies, respectivement qu'aucun motif de refus au sens de l'art. 12 al. 2 OEV n'est réalisé.</w:t>
      </w:r>
    </w:p>
    <w:p>
      <w:r>
        <w:rPr>
          <w:b/>
        </w:rPr>
        <w:t>E. 7</w:t>
      </w:r>
    </w:p>
    <w:p>
      <w:r>
        <w:t>En conséquence, compte tenu des éléments qui précèdent, le Tribunal est amené à considérer que le retour de A._______ en Iran à l'échéance du visa requis peut être tenu, avec un haut degré de probabilité pour garanti, conformément aux exigences posées par l'art. 5 al. 2 LEtr. Tout bien considéré, le Tribunal estime qu'il serait inopportun, au vu des garanties apportées quant à une sortie de l'Espace Schengen dans le délai fixé, de refuser à l'intéressée l'autorisation d'entrée en Suisse, l'intérêt privé de cette dernière à pouvoir rendre visite, durant trente jours, à son fils et à sa petite-fille née récemment prévalant sur l'intérêt public contraire à refuser le visa sollicité.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intéressés (art. 115 à 122 LEtr), ainsi qu'une interdiction d'entrée en Suisse à l'endroit de la personne invitée (art. 67 LEtr).</w:t>
      </w:r>
    </w:p>
    <w:p>
      <w:r>
        <w:rPr>
          <w:b/>
        </w:rPr>
        <w:t>E. 8</w:t>
      </w:r>
    </w:p>
    <w:p>
      <w:r>
        <w:t>Le recours est en conséquence admis, la décision attaquée annulée et la cause renvoyée pour nouvel examen à l'ODM, lequel devra déterminer si A._______ remplit les autres conditions d'entrée posées par le code frontières Schengen ou s'il convient, cas échéant, de lui octroyer un visa à validité territoriale limitée en application de l'art. 2 al. 4 OEV. Obtenant gain de cause, la recourante n'a pas à supporter de frais de procédure (cf. art. 63 al. 1 a contrario et al. 3 PA). Bien qu'elle succombe, l'autorité inférieure n'a pas à supporter de frais de procédure (art. 63 al. 2 PA) Par ailleurs, la recourante a droit à des dépens (cf. art. 62 al. 1 PA en relation avec l'art. 7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1'600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