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C-5999/2009 vom 8. Dezember 2009</w:t>
      </w:r>
    </w:p>
    <w:p>
      <w:r>
        <w:t>Bundesverwaltungsgericht, 2009-12-08, DE</w:t>
      </w:r>
    </w:p>
    <w:p>
      <w:r>
        <w:rPr>
          <w:b/>
        </w:rPr>
        <w:t xml:space="preserve">Quelle: </w:t>
      </w:r>
      <w:r>
        <w:t>https://mcp.opencaselaw.ch/entscheid/bvger_C-5999_2009</w:t>
      </w:r>
    </w:p>
    <w:p>
      <w:r>
        <w:t>FR: TAF C-5999/2009 du 8 décembre 2009</w:t>
      </w:r>
    </w:p>
    <w:p>
      <w:r>
        <w:t>IT: TAF C-5999/2009 del 8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Darüber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 entgegen den Ausführungen des Beschwerdeführers (vgl. Beschwerde Ziff. 4) -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der Visumpflicht (vgl. dazu ausführlicher Urteil des Bundesverwaltungsgerichts C-7688/2008 vom 30. Juni 2009, E. 6). Vor diesem Hintergrund läuft auch der Vergleich des Beschwerdeführers zwischen der Gesuchstellerin und Touristen sowie eingeladenen Gäste aus Japan, Amerika und Australien ins Leere (Beschwerde S. 4). Die aufgezählten Länder sind alle explizit von der Visumpflicht für einen Aufenthalt bis drei Monate ausgenommen, nicht so aber Jamaika, für das eine Visumspflicht besteht (vgl. Anhang 1, Liste 1: Übersicht der Ausweis und Visumvorschriften nach Staatsangehörigkeit, Version vom 23. Oktober 2009). Von einer rechtsungleichen, willkürlichen Behandlung kann - wie es der Beschwerdeführer replikweise geltend macht - somit nicht die Rede sein.</w:t>
      </w:r>
    </w:p>
    <w:p>
      <w:r>
        <w:rPr>
          <w:b/>
        </w:rPr>
        <w:t>E. 6.1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In Jamaika sind breite Bevölkerungsschichten von vergleichsweisen schwierigen ökonomischen und sozialen Lebensbedingungen betroffen: Zwar wuchs die Wirtschaft 2007 um mässige 1.1%; 2008 ging sie jedoch um den gleichen Prozentsatz zurück. Eine Fortsetzung des negativen Wachstums wird denn auch für das Jahr 2009 - in sogar noch verstärkter Form - erwartet. Im Oktober 2008 betrug die landesweite offizielle Arbeitslosenquote 10,3%, wobei sich der Anteil bei den jungen Leuten sogar auf 40% beläuft. Der gesetzliche Mindestlohn beläuft sich gemessen an einer 40 Stunden-Woche seit Januar 2008 auf 3.700 J-Dollar. Sozial abfedernd wirken hier die Überweisungen der Auslandjamaikaner (vor allem aus USA, GB und Kanada) an die Familien zuhause. Diese sind Jahr für Jahr auf fast 2 [Mrd.] USD gestiegen. Aufgrund der allgemeinen Wirtschaftskrise ist jedoch seit November 2008 ein Rückgang zu verzeichnen (Länder- und Reiseinformationen des Auswärtigen Amtes &gt; Länder, Reisen und Sicherheit &gt; Jamaika &gt; Wirtschaft, www.auswaertiges-amt.de, Stand: Oktober 2009, besucht im November 2009).</w:t>
      </w:r>
    </w:p>
    <w:p>
      <w:r>
        <w:rPr>
          <w:b/>
        </w:rPr>
        <w:t>E. 6.3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 der Eingeladenen handelt es sich um eine 22-jährige, verheiratete Frau und Mutter eines sechsjährigen Sohnes. Zwar lässt diese Familienkonstellation auf den ersten Blick durchaus auf gewisse familiäre Verpflichtungen schliessen, allerdings sind diese zu relativieren. So kümmert sich der Vater des Sohnes nicht sehr intensiv um Frau und Kind (Beschwerde Ziff. 6). Gemäss einem Schreiben der Gesuchstellerin vom 2. Juni 2009 lebe dieser gegenwärtig sogar in den USA. Auch lässt die beantragte Dauer des Besuchsaufenthalts von gleich 90 Tagen nicht darauf schliessen, der Sohn der Gesuchstellerin sei zwingend auf die Betreuung durch seine Mutter angewiesen. Vielmehr kann die Fürsorge und Betreuung des Kindes in Abwesenheit der Gesuchstellerin auch problemlos von den Grosseltern des Kindes bzw. der Mutter der Gesuchstellerin wahrgenommen werden, wie es beschwerdeweise geltend gemacht wird. Im familiären Bereich der Gesuchstellerin sind somit keine zwingenden Verantwortlichkeiten zu erkennen, die sie ernsthaft davon abhalten könnten, die Entscheidung für eine Emigration zu fällen. Kommt hinzu, dass der Entschluss bei zurückbleibenden Angehörigen oftmals noch von der Hoffnung getragen sein kann, die Angehörigen später nachfolgen zu lassen.</w:t>
      </w:r>
    </w:p>
    <w:p>
      <w:r>
        <w:rPr>
          <w:b/>
        </w:rPr>
        <w:t>E. 7.2</w:t>
      </w:r>
    </w:p>
    <w:p>
      <w:r>
        <w:t>In Bezug auf die Arbeitstätigkeit sind den Akten unterschiedliche Angaben zu entnehmen: Gemäss dem Visumantrag sowie einem Schreiben der Gesuchstellerin vom 2. Juni 2009 sei die Gesuchstellerin selbständig und verkaufe Kleider. Aus einer den Akten beigelegten undatierten Arbeitsbestätigung einer Privatperson ist ersichtlich, dass die Gesuchstellerin als Haushälterin ("housekeeper") angestellt sei und wöchentlich $ 5,500 verdiene. Der Beschwerdeführer erklärte jedoch gegenüber dem kantonalen Migrationsamt, sein Gast sei als Zimmermädchen und zeitweise an der Bar tätig (Schreiben vom 17. Juli 2009 Punkt 5). Beschwerdeweise wird präzisiert, die Gesuchstellerin sei stundenweise auf Abruf als Zimmermädchen und im Service in Hotels/Restaurants tätig. Die Arbeit werde durch Temporärbüros vermittelt. Gewisse Zweifel bezüglich der Glaubhaftigkeit der genannten Angaben sind aufgrund der unterschiedlichen Darstellungsweisen durchaus angebracht. Aber selbst wenn anzunehmen wäre, die Gesuchstellerin sei Zimmermädchen und Serviceangestellte auf Abruf und bekomme ihre Arbeit durch ein Temporärbüro vermittelt, ist nicht davon auszugehen, es handle sich um eine sichere, feste Arbeitsstelle und vollzeitige Tätigkeit, die ihr ein Leben in gesicherten und stabilen wirtschaftlichen Verhältnissen ermöglichen. Insbesondere werden auch keine Angaben zur effektiv getätigten Arbeitszeit und zum Verdienst gemacht. Mit diesen Ausführungen ist nicht davon auszugehen, es bestünden berufliche Verpflichtungen der Gesuchstellerin, die sie nachhaltig davon abzuhalten vermöchten, die Auswanderung in die Schweiz in Erwägung zu ziehen.</w:t>
      </w:r>
    </w:p>
    <w:p>
      <w:r>
        <w:rPr>
          <w:b/>
        </w:rPr>
        <w:t>E. 8.1</w:t>
      </w:r>
    </w:p>
    <w:p>
      <w:r>
        <w:t>Aufgrund dieser Erwägungen durfte die Vorinstanz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w:t>
      </w:r>
    </w:p>
    <w:p>
      <w:r>
        <w:rPr>
          <w:b/>
        </w:rPr>
        <w:t>E. 8.2</w:t>
      </w:r>
    </w:p>
    <w:p>
      <w:r>
        <w:t>An dieser Risikoeinschätzung vermögen auch die auf Rechtsmit-telebene getätigten Hinweise des Beschwerdeführers zu seiner wirtschaftlichen Situation nichts zu ändern. Die Integrität des Beschwerdeführers in seiner Eigenschaft als Gastgeber wird nicht in Zweifel gezogen. In diesem Sinn kann auch seine Zusicherung betreffend fristgerechter Rückkehr des Gastes nicht entscheidend sein: Bei der Abwägung des Risikos einer nicht fristgerechten Wiederausreise sind nämlich nicht so sehr die Einstellung und Absichten des Gastgebers, sondern in erster Linie das mögliche Verhalten des Gastes selbst von Bedeutung. Nur Letzterer ist in der Lage, hinreichend Gewähr für eine fristgerechte und anstandslose Wiederausreise zu bieten. Dem Gastgeber obliegt allenfalls - wie dies in casu geschehen ist - für gewisse finanzielle Risiken Garantie zu leisten (vgl. Garantieerklärung vom 24. Juli 2009 und Versicherungsbestätigung vom 23. Januar 2009), für ein bestimmtes Verhalten des Gastes kann er aber - mangels rechtlicher und faktischer Durchsetzbarkeit - nicht garantieren (anstelle vieler vgl. Urteile des Bundesverwaltungsgerichts C-7005/2007 vom 25. Juni 2009 E. 9 und C-2405/2008 vom 18. März 2009 E. 10).</w:t>
      </w:r>
    </w:p>
    <w:p>
      <w:r>
        <w:rPr>
          <w:b/>
        </w:rPr>
        <w:t>E. 9</w:t>
      </w:r>
    </w:p>
    <w:p>
      <w:r>
        <w:t>Vor dem aufgezeigten Hintergrund erweist sich die angefochtene Verfügung als rechtmässig (Art. 49 VwVG). Die Beschwerde ist daher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