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C-598/2006 vom 16. April 2007</w:t>
      </w:r>
    </w:p>
    <w:p>
      <w:r>
        <w:t>Bundesverwaltungsgericht, 2007-04-16, DE</w:t>
      </w:r>
    </w:p>
    <w:p>
      <w:r>
        <w:rPr>
          <w:b/>
        </w:rPr>
        <w:t xml:space="preserve">Quelle: </w:t>
      </w:r>
      <w:r>
        <w:t>https://mcp.opencaselaw.ch/entscheid/bvger_C-598_2006</w:t>
      </w:r>
    </w:p>
    <w:p>
      <w:r>
        <w:t>FR: TAF C-598/2006 du 16 avril 2007</w:t>
      </w:r>
    </w:p>
    <w:p>
      <w:r>
        <w:t>IT: TAF C-598/2006 del 16 aprile 2007</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BFM betreffend Ausdehnung der kantonalen Wegweisung (Art. 12 Abs. 3 des Bundesgesetzes vom 26. März 1931 über Aufenthalt und Niederlassung der Ausländer [ANAG, SR 142.20]), welche vom Bundesverwaltungsgericht endgültig beurteilt werden (Art. 1 Abs. 2 VGG i.V.m. Art. 83 lit. c Ziff. 1 des Bundesgerichtsgesetzes vom 17. Juni 2005 [BGG, SR 173.110]).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dieses Gesetz nichts anderes bestimmt.</w:t>
      </w:r>
    </w:p>
    <w:p>
      <w:r>
        <w:rPr>
          <w:b/>
        </w:rPr>
        <w:t>E. 1.3</w:t>
      </w:r>
    </w:p>
    <w:p>
      <w:r>
        <w:t>Als Verfügungsadressat ist der Beschwerdeführer zur Anfechtung der vorinstanzlichen Verfügung legitimiert. Auf die frist- und formgerecht eingereichte Beschwerde ist deshalb einzutreten (Art. 48 ff. VwVG).</w:t>
      </w:r>
    </w:p>
    <w:p>
      <w:r>
        <w:rPr>
          <w:b/>
        </w:rPr>
        <w:t>E. 2</w:t>
      </w:r>
    </w:p>
    <w:p>
      <w:r>
        <w:t>Gemäss Artikel 1a ANAG ist eine ausländische Person dann zur Anwesenheit in der Schweiz berechtigt, wenn sie über eine Aufenthalts- oder Niederlassungsbewilligung verfügt oder nach dem Gesetz keiner solchen bedarf (zum Letzteren vgl. Art. 2 ANAG und Art. 1 ANAV). Besitzt sie keine Bewilligung und kann sie sich auch nicht auf ein gesetzliches Bleiberecht berufen, so ist ihr Aufenthalt illegal und sie ist von Gesetzes wegen verpflichtet, die Schweiz zu verlassen (vgl. Art. 18 i.V.m. Art. 12 ANAG, ferner den Tatbestand des illegalen Aufenthaltes im Sinne von Art. 23 Abs. 1 ANAG, sowie: Nicolas Wisard, Les renvois et leur exécution en droit des étrangers et en droit d'asile, Basel/Frankfurt a.M. 1997, S. 102). Die durch den zuständigen Kanton verfügte Wegweisung ist vor diesem Hintergrund kein Eingriff in ein irgendwie geartetes Anwesenheitsrecht, sondern eine exekutorische Massnahme zur Beseitigung eines rechtswidrigen Zustandes (vgl. Andreas Zünd, Beendigung der Anwesenheit, Entfernung und Fernhaltung, in: Uebersax/Münch/Geiser/Arnold [Hrsg.], Ausländerrecht. Ausländerinnen und Ausländer im öffentlichen Recht, Privatrecht, Strafrecht, Steuerrecht und Sozialrecht der Schweiz, Basel/Genf/München 2002, Rz. 6.53 mit Hinweisen) und zugleich dessen logische und nicht in Frage zu stellende Konsequenz (Art. 12 Abs. 3 Satz 2 ANAG verleiht der Behörde kein Entschliessungsermessen; vgl. dazu Wisard, a.a.O., S. 130). Die Wegweisung kann in dieser Konstellation namentlich nicht dadurch in Frage gestellt werden, dass die Ausreisepflicht thematisiert wird, beispielsweise indem geltend gemacht wird, es bestehe ein überwiegendes privates Interesse am weiteren Verbleib in der Schweiz. Derartige Vorbringen sind im kantonalen Bewilligungsverfahren oder - nach Verweigerung einer Bewilligung - in dem dafür vorgesehene Rechtsmittelverfahren geltend zu machen; vorbehalten bleiben Vollzugshindernisse im Sinne von Art. 14a ANAG.</w:t>
      </w:r>
    </w:p>
    <w:p>
      <w:r>
        <w:rPr>
          <w:b/>
        </w:rPr>
        <w:t>E. 3</w:t>
      </w:r>
    </w:p>
    <w:p>
      <w:r>
        <w:t>Gemäss Artikel 12 Absatz 3 ANAG kann die eidgenössische Behörde die Pflicht zur Ausreise aus einem Kanton auf das ganze Gebiet der Schweiz ausdehnen. Artikel 17 Absatz 2 ANAV präzisiert diese Bestimmung, indem die Ausdehnung der Wegweisung zur Regel erklärt wird, von der nur abzuweichen ist, wenn dem Ausländer aus besonderen Gründen Gelegenheit gegeben werden soll, in einem anderen Kanton um eine Bewilligung nachzusuchen. Die Ausdehnung ist somit nur noch der konsequente Vollzug eines rechtskräftigen kantonalen Entscheides und wird daher nur in seltenen Ausnahmefällen unterbleiben (vgl. Entscheid des Eidgenössischen Justiz- und Polizeidepartements vom 5. Mai 1998, publiziert in Verwaltungspraxis der Bundesbehörden [VPB] 62.52 E. 9 mit Hinweisen). Somit gilt das zur kantonal verfügten Wegweisung Gesagte grundsätzlich auch für die ebenfalls exekutorisch wirkende Ausdehnungsverfügung. Wurde die ausländische Person im Anschluss an einen negativen kantonalen Bewilligungsentscheid aus dem Kanton weggewiesen und hat sie als Folge davon kein Recht auf Aufenthalt in der Schweiz (Art. 1a ANAG), kann sie die Ausreiseverpflichtung selbst nicht zum Thema des Verfahrens machen; vorbehalten bleiben auch hier Vollzugshindernisse im Sinne von Art. 14a ANAG. Es ist dem Ausländer namentlich verwehrt, Interessen einzubringen, die auf den weiteren Verbleib in der Schweiz gerichtet sind, denn die Ausreiseverpflichtung ist die gesetzliche Folge des fehlenden Aufenthaltsrechts. Ein Aufenthaltsrecht, das notwendig wäre, um die Ausreisepflicht zu beseitigen, wird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diesen auch nur zu dulden (vgl. Art. 18 ANAG; vorbehalten bleibt das Asylrecht, das hier nicht von Bedeutung ist, sowie die vorläufige Aufnahme, zu Letzterer weiter hinten).</w:t>
      </w:r>
    </w:p>
    <w:p>
      <w:r>
        <w:rPr>
          <w:b/>
        </w:rPr>
        <w:t>E. 4</w:t>
      </w:r>
    </w:p>
    <w:p>
      <w:r>
        <w:t>Vor dem Hintergrund der geschilderten Kompetenzordnung ist auch die Regelung des Artikel 17 Absatz 2 ANAV zu verstehen, wonach auf die Ausdehnung verzichtet werden kann, wenn der ausländischen Person aus besonderen Gründen Gelegenheit gegeben werden soll, in einem anderen Kanton um eine Bewilligung nachzusuchen. Da auf der einen Seite der Verzicht auf die Ausdehnung an der Illegalität des Aufenthalts nichts ändert, und es auf der anderen Seite nicht angeht, einen rechtswidrigen Zustand in Kauf zu nehmen, wird Artikel 17 Absatz 2 ANAV praxisgemäss in dem Sinne ausgelegt,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5</w:t>
      </w:r>
    </w:p>
    <w:p>
      <w:r>
        <w:t>Der Beschwerdeführer ist von einer rechtskräftigen kantonalen Wegweisung betroffen. Mit dem im Kanton Zürich rechtskräftigen Abschluss des Verfahrens um Erteilung einer Aufenthaltsbewilligung steht fest, dass seitens eines Drittkantons keine Bereitschaft besteht, den Aufenthalt des Beschwerdeführers zu regeln. Es ist somit kein Spielraum vorhanden, vom Grundsatz der Ausdehnung der kantonalen Wegweisung auf das ganze Gebiet der Schweiz abzuweichen. Die Ausdehnung der kantonalen Wegweisung ist damit rechtens.</w:t>
      </w:r>
    </w:p>
    <w:p>
      <w:r>
        <w:rPr>
          <w:b/>
        </w:rPr>
        <w:t>E. 6</w:t>
      </w:r>
    </w:p>
    <w:p>
      <w:r>
        <w:t>Unabhängig von der Bestätigung der Ausdehnungsverfügung bleibt zu prüfen, ob Hinderungsgründe für den Vollzug der Wegweisung anzunehmen sind (Art. 14a Abs. 3 und 4 ANAG) und das zuständige Bundesamt deshalb gestützt auf Artikel 14a Absatz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antastet, sondern vielmehr voraussetzt (BBl 1990 647; Walter Kälin, Grundriss des Asylverfahrens, Basel/Frankfurt a.M. 1990, S. 200). Vollzugshindernisse können somit die Ausdehnungsverfügung als solche von vornherein nicht in Frage stellen.</w:t>
      </w:r>
    </w:p>
    <w:p>
      <w:r>
        <w:rPr>
          <w:b/>
        </w:rPr>
        <w:t>E. 7</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EMRK und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1 - 4 ANAG).</w:t>
      </w:r>
    </w:p>
    <w:p>
      <w:r>
        <w:rPr>
          <w:b/>
        </w:rPr>
        <w:t>E. 7.1</w:t>
      </w:r>
    </w:p>
    <w:p>
      <w:r>
        <w:t>Aus den Akten ergeben sich keine konkreten Anhaltspunkte, die darauf hindeuten würden, einer Rückkehr des Rekurrenten stünden technische Hindernisse im Weg oder es drohe ihm in seinem Heimatland Verfolgung, Folter oder eine andere Art grausamer und unmenschlicher Behandlung oder Bestrafung (vgl. Art. 1A Ziff. 2 i.V.m. Art. 33 FK sowie Art. 3 EMRK; vgl. auch Art. 25 Abs. 2 und 3 der Schweizerischen Bundesverfassung vom 18. April 1999 [BV, SR 101]).</w:t>
      </w:r>
    </w:p>
    <w:p>
      <w:r>
        <w:rPr>
          <w:b/>
        </w:rPr>
        <w:t>E. 7.2</w:t>
      </w:r>
    </w:p>
    <w:p>
      <w:r>
        <w:t>Demgegenüber ist das Vorliegen einer konkreten Gefährdung fraglich. Eine solche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(vgl. EMARK 2006 Nr. 11 E. 6 S. 118 mit Hinweisen).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(vgl. EMARK 2005 Nr. 12 E. 10.3 S. 114 mit Hinweisen). Eine solche Situation liegt namentlich dann vor, wenn die weggewiesene Person unwiederbringlich in völlige Armut gestossen würde, dem Hunger und somit einer ernsthaften Verschlechterung ihres Gesundheitszustandes, der Invalidität oder sogar dem Tod ausgeliefert wäre (vgl. EMARK 2006 Nr. 10 E. 5.1 S. 106 mit Hinweisen).</w:t>
      </w:r>
    </w:p>
    <w:p>
      <w:r>
        <w:rPr>
          <w:b/>
        </w:rPr>
        <w:t>E. 8</w:t>
      </w:r>
    </w:p>
    <w:p>
      <w:r>
        <w:t>In der Beschwerdeschrift macht der Beschwerdeführer als Hindernis für den Wegweisungsvollzugs geltend, seine Rückkehr in den Kosovo sei für ihn, der der ethnischen Minderheit der Roma angehöre, mit einer Gefährdung seines Lebens verbunden.</w:t>
      </w:r>
    </w:p>
    <w:p>
      <w:r>
        <w:rPr>
          <w:b/>
        </w:rPr>
        <w:t>E. 8.1</w:t>
      </w:r>
    </w:p>
    <w:p>
      <w:r>
        <w:t>In seinem Lagebericht vom März 2005 stellte das UNHCR fest, dass sich die Situation im Kosovo nach den gewalttätigen ethnischen Auseinandersetzungen im März 2004 seit der zweiten Hälfte des Jahres 2004 insgesamt weiter verbessert und stabilisiert habe. Namentlich habe sich die provisorische Selbstverwaltung ernsthaft um die Umsetzung der Normen zum Umgang mit ethnischen Minderheiten bemüht; seit rund einem Jahr seien keine ethnisch motivierten Tötungen mehr zu verzeichnen.</w:t>
      </w:r>
    </w:p>
    <w:p>
      <w:r>
        <w:rPr>
          <w:b/>
        </w:rPr>
        <w:t>E. 8.2</w:t>
      </w:r>
    </w:p>
    <w:p>
      <w:r>
        <w:t>Vor diesem Hintergrund hielt die jüngste Rechtsprechung der - seit dem 1. Januar 2007 ins Bundesverwaltungsgericht integrierten - Schweizerischen Asylrekurskommission (ARK) den Vollzug der Wegweisung von albanischsprachigen Roma, Ashkali und Ägyptern in den Kosovo grundsätzlich für zumutbar, sofern aufgrund einer Einzelfallabklärung (insbesondere Untersuchungen vor Ort) feststehe, dass bestimmte Reintegrationskriterien wie berufliche Ausbildung, Gesundheitszustand, Alter, ausreichende wirtschaftliche Lebensgrundlage und Beziehungsnetz im Kosovo erfüllt seien (vgl. EMARK 2006 Nr. 11 E. 6.2.3 S.122 und Nr. 10 E. 5.4 S. 107 f.). In den genannten Fällen ergab sich für die ARK das Erfordernis der Einzelfallabklärung daraus, dass die betroffenen Personen zu den so genannten "vulnerable groups" gehörten (in einem Fall handelte es sich um eine allein erziehende Mutter von vier minderjährigen Kindern, im anderen Fall um zwei Witwen, davon eine pflegebedürftig, die andere Mutter von minderjährigen Kindern).</w:t>
      </w:r>
    </w:p>
    <w:p>
      <w:r>
        <w:rPr>
          <w:b/>
        </w:rPr>
        <w:t>E. 8.3</w:t>
      </w:r>
    </w:p>
    <w:p>
      <w:r>
        <w:t>Im Falle des Beschwerdeführers erübrigt sich jedoch eine Einzelfallabklärung vor Ort, da die soeben aufgezählten Kriterien, die für die Zumutbarkeit des Wegweisungsvollzugs sprechen, hinreichend geklärt sind. Aus seinem eigenen Vorbringen ergibt sich nämlich, dass er in seiner Heimatregion Prizren - wo die Sicherheitslage wenig problematisch ist - durchaus noch über Familienangehörige und Bekannte verfügt. Sein Alter von 34 Jahren sowie seine in der Schweiz ausgeübte Berufstätigkeit sprechen ebenfalls dafür, dass er sehr wohl in der Lage sein dürfte, sich in der alten Heimat eine neue Existenz aufzubauen. Die damit verbundenen vorübergehenden Unannehmlichkeiten wie Wohnungs- und Arbeitssuche sind dabei in Kauf zu nehmen.</w:t>
      </w:r>
    </w:p>
    <w:p>
      <w:r>
        <w:rPr>
          <w:b/>
        </w:rPr>
        <w:t>E. 8.4</w:t>
      </w:r>
    </w:p>
    <w:p>
      <w:r>
        <w:t>Soweit sich der Beschwerdeführer auf den angeblichen gewaltsamen Tod eines Cousins beruft, könnte dies zwar die Frage aufwerfen, ob seine Zugehörigkeit zur Volksgruppe der Roma ihn im Falle einer Rückkehr tatsächlich in Gefahr bringen könnte. Die insoweit pauschalen und absichtlich unpräzisen Behauptungen des Beschwerdeführers lassen allerdings eine nähere Prüfung, insbesondere Abklärungen vor Ort, gar nicht zu. So hat der Beschwerdeführer erklärt, weder seine Angehörigen noch andere Personen im Heimatland seien bereit, Angaben zu den in seiner Familie erfolgten Übergriffen zu machen; er könne dazu auch keine Belege einreichen. Seine Rechtsansicht, dies dürfe ihm nicht zum Nachteil gereichen, geht jedoch fehl.</w:t>
      </w:r>
    </w:p>
    <w:p>
      <w:r>
        <w:rPr>
          <w:b/>
        </w:rPr>
        <w:t>E. 8.5</w:t>
      </w:r>
    </w:p>
    <w:p>
      <w:r>
        <w:t>Zwar ist das Bundesverwaltungsgericht aufgrund der das Verfahren beherrschenden Untersuchungsmaxime gehalten, den Sachverhalt von Amtes wegen abzuklären. Diese Pflicht der Behörde wird begrenzt durch die Mitwirkungspflicht der Parteien (Art. 13 VwVG), ohne dass ihnen dadurch die Beweisführungslast überbunden würde (vgl. nicht publiziertes Urteil des Bundesgerichts 2A.430/2006 vom 6. Februar 2007 E. 10.2). Die dem Beschwerdeführer - auch in eigenem Interesse - obliegende Mitwirkungspflicht gebietet es, bei der Feststellung des relevanten Sachverhalts mitzuwirken. Im vorliegenden Fall hätte der Beschwerdeführer die Umstände, die für ihn eine konkrete Bedrohung darstellen und von der Verwaltung nicht näher abgeklärt werden können, unter Angabe von Beweismitteln näher darlegen müssen. Die Verletzung seiner Mitwirkungspflicht führt dazu, dass die ihn bei der Frage des Wegweisungsvollzugs womöglich begünstigenden Umstände nicht zu berücksichtigen sind. Seine allgemeinen und sich lediglich auf den eingereichten Lagebericht von Stephane Laederich abstützenden Ausführungen reichen nicht aus, um drohende Übergriffe gegen ihn selbst glaubhaft darlegen zu können. Zudem spricht der Umstand, dass der Beschwerdeführer im Jahre 1993 nicht über den Asylweg, sondern im Rahmen des Familiennachzugs in die Schweiz gelangt ist, dafür, dass seine Ausführungen lediglich Schutzbehauptungen sind. Hinzu kommt, dass er eigenen Angaben zufolge während seines hiesigen Aufenthalts dreimal in den Kosovo zurückgekehrt ist.</w:t>
      </w:r>
    </w:p>
    <w:p>
      <w:r>
        <w:rPr>
          <w:b/>
        </w:rPr>
        <w:t>E. 9</w:t>
      </w:r>
    </w:p>
    <w:p>
      <w:r>
        <w:t>Abschliessend betrachtet ergeben sich aus den Akten und aus dem Beschwerdevorbringen keine relevanten (bzw. einem Beweis zugänglichen) Anhaltspunkte, die gegen die Zulässigkeit und Zumutbarkeit des Wegweisungsvollzugs in die Heimat des Beschwerdeführers sprächen: Dem Vollzug seiner Wegweisung stehen weder völkerrechtliche Verpflichtungen der Schweiz entgegen, noch wird das Vorliegen einer konkreten Gefährdung im Sinne von Artikel 14a Absatz 4 ANAG glaubhaft gemacht. Der Beschwerdeführer hat seine Heimat im Jahre 1993 verlassen und erhielt im Rahmen des Familiennachzugs eine Aufenthaltsbewilligung in der Schweiz. Er ist weder gesundheitlich gefährdet oder sonst von einer Krankheit betroffen, deren medizinische Behandlung im Heimatland nicht gewährleistet wäre. Hinweise auf die angeblich gute Integration in der Schweiz einerseits sowie auf die schlechteren Zukunftsperspektiven in der Heimat andererseits sind, was die Zumutbarkeit des Wegweisungsvollzugs betrifft, jedenfalls unbeachtlich.</w:t>
      </w:r>
    </w:p>
    <w:p>
      <w:r>
        <w:rPr>
          <w:b/>
        </w:rPr>
        <w:t>E. 10</w:t>
      </w:r>
    </w:p>
    <w:p>
      <w:r>
        <w:t>Die angefochtene Verfügung ist somit als rechtmässig zu bestätigen (Art. 49 VwVG) und die Beschwerde infolgedessen abzuweisen.</w:t>
      </w:r>
    </w:p>
    <w:p>
      <w:r>
        <w:rPr>
          <w:b/>
        </w:rPr>
        <w:t>E. 11</w:t>
      </w:r>
    </w:p>
    <w:p>
      <w:r>
        <w:t>Bei diesem Ausgang des Verfahrens sind dem Beschwerdeführer die Kosten aufzuerlegen (vgl.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