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C-5985/2010 vom 27. Oktober 2011</w:t>
      </w:r>
    </w:p>
    <w:p>
      <w:r>
        <w:t>Bundesverwaltungsgericht, 2011-10-27, DE</w:t>
      </w:r>
    </w:p>
    <w:p>
      <w:r>
        <w:rPr>
          <w:b/>
        </w:rPr>
        <w:t xml:space="preserve">Quelle: </w:t>
      </w:r>
      <w:r>
        <w:t>https://mcp.opencaselaw.ch/entscheid/bvger_C-5985_2010</w:t>
      </w:r>
    </w:p>
    <w:p>
      <w:r>
        <w:t>FR: TAF C-5985/2010 du 27 octobre 2011</w:t>
      </w:r>
    </w:p>
    <w:p>
      <w:r>
        <w:t>IT: TAF C-5985/2010 del 27 ottobre 2011</w:t>
      </w:r>
    </w:p>
    <w:p>
      <w:pPr>
        <w:pStyle w:val="Heading2"/>
      </w:pPr>
      <w:r>
        <w:t>Regeste</w:t>
      </w:r>
    </w:p>
    <w:p>
      <w:r>
        <w:t>Einreiseverbot</w:t>
      </w:r>
    </w:p>
    <w:p>
      <w:pPr>
        <w:pStyle w:val="Heading2"/>
      </w:pPr>
      <w:r>
        <w:t>Erwägungen</w:t>
      </w:r>
    </w:p>
    <w:p>
      <w:r>
        <w:rPr>
          <w:b/>
        </w:rPr>
        <w:t>E. 3</w:t>
      </w:r>
    </w:p>
    <w:p>
      <w:r>
        <w:t>Der Beschwerdeführer rügt formell eine Verletzung des Anspruchs auf rechtliches Gehör in zweifacher Hinsicht: Unter Bezugnahme auf Art. 67 Abs. 2 AuG (seit 1. Januar 2011 Art. 67 Abs. 4 AuG), rügt er, dass vor Erlass der Einreisesperre der DAP hätte angehört werden müssen. Zunächst ist anzumerken, dass der Dienst für Analyse und Prävention (DAP) und der strategische Nachrichtendienst (SND) zusammengeführt wurden. Per 1. Januar 2010 entstand daraus der Nachrichtendienst des Bundes (NDB). Diese Änderung wurde auch im Gesetz so übernommen. Eine Anhörung durch den NDB setzt voraus, dass das Bundesamt für Polizei (fedpol) den Erlass des Einreiseverbotes beabsichtigt, was vorliegend nicht der Fall ist. Diese Rüge erweist sich als unbegründet. Der Beschwerdeführer rügt zudem, dass ihm vor Erlass des Einreiseverbotes das rechtliche Gehör nicht gewährt worden sei. Den Akten zufolge wurde ihm am 20. Juli 2010 im Regionalgefängnis Thun explizit die Möglichkeit geboten, sich im Rahmen des rechtlichen Gehörs zu äussern, worauf er jedoch verzichtete und seine Unterschrift verweigerte. Dem ist nichts beizufügen.</w:t>
      </w:r>
    </w:p>
    <w:p>
      <w:r>
        <w:rPr>
          <w:b/>
        </w:rPr>
        <w:t>E. 4.1</w:t>
      </w:r>
    </w:p>
    <w:p>
      <w:r>
        <w:t>Mit Inkrafttreten des AuG am 1. Januar 2008 wurde das ANAG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 / Georg Müller / Felix Uhlmann, allgemeines Verwaltungsrecht, 6. Vollständig überarbeitet Auflage, Zürich / St. Gallen 2010, Rz. 337 ff. sowie BVGE 2009/3 E.3.2).</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Auf den 1. Januar 2011 trat als Folge der Weiterentwicklung des Schengen-Besitzstandes eine neue Fassung des in Art. 67 AuG geregel­ten Einreiseverbots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sowie erwähntes Urteil des Bundesverwaltungsgerichts C-2482/2009 E. 6.2 in fine).</w:t>
      </w:r>
    </w:p>
    <w:p>
      <w:r>
        <w:rPr>
          <w:b/>
        </w:rPr>
        <w:t>E. 5.2</w:t>
      </w:r>
    </w:p>
    <w:p>
      <w:r>
        <w:t>Wie bereits die altrechtliche Einreisesperre (vgl. Art. 13 Abs. 1 ANAG) ist das Einreiseverbot keine Sanktion für vergangenes Fehlverhalten, sondern eine Massnahme zur Abwendung künftiger Störungen der öffent­lichen Sicherheit und Ordnung (siehe Botschaft zum Bundesgesetz über Ausländerinnen und Ausländer vom 8. März 2002, BBl 2002, 3709, 3813). Die öffentliche Sicherheit und Ordnung im Sinne von Art. 67 Abs. 1 Bst. a AuG (seit dem 1. Januar 2011: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VZAE sowie Rainer J. Schwei­zer/Patrick Sutter/Nina Widmer, in: Rainer J. Schweizer [Hrsg.], Si­cherheits- und Ordnungsrecht des Bundes, SBVR Bd. III/1, Basel 2008, Teil B, Rz. 13 mit Hinweisen).</w:t>
      </w:r>
    </w:p>
    <w:p>
      <w:r>
        <w:rPr>
          <w:b/>
        </w:rPr>
        <w:t>E. 5.3</w:t>
      </w:r>
    </w:p>
    <w:p>
      <w:r>
        <w:t>In Bezug auf die Verfehlungen, die dem Beschwerdeführer vorgeworfen werden,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 6.6.1. In der angefochtenen Verfügung wird dem Beschwerdeführer Missachten einer behördlichen Anordnung, illegaler Aufenthalt sowie falsche Identitätsangabe vorgeworfen. Aus den Akten geht hervor, dass er sich vom 25. September 2004 bis zu seiner Ausschaffung am 29. Juli 2010 illegal in der Schweiz aufgehalten hat. Sein Aufenthalt ist als rechtswidrig im Sinne von Art. 115 Abs. 1 Bst. b AuG zu bezeichnen (zum entsprechenden bis zum 31. Dezember 2007 geltenden Art. 23 Abs. 1 al. 4 ANAG vgl. VALENTIN ROSCHACHER, Die Strafbestimmungen des Bundesgesetzes über Aufenthalt und Niederlassung der Ausländer vom 26. März 1931 [ANAG], Diss. Chur/Zürich 1991, S. 42 ff.). Der Beschwerdeführer wurde deswegen verschiedentlich strafrechtlich zur Verantwortung gezogen. Es steht ausser Zweifel, dass er durch das Nichtbefolgen der behördlich angesetzten Ausreisefrist, den illegalen Aufenthalt von knapp sechs Jahren, der Vereitelung jeglicher Vollzugsmassnahmen sowie der fehlenden Bereitschaft, während dieser Zeit auszureisen, gegen die öffentliche Sicherheit und Ordnung in der Schweiz verstossen hat (vgl. Art. 67 Abs. 2 Bst. a AuG). 6.2. Hinzu kommt, dass der Beschwerdeführer in Ausschaffungs- und Durchsetzungshaft genommen und ausgeschafft werden musste. Durch seinen Haftaufenthalt von 138 Tagen hat er dem Kanton Bern Kosten in der Höhe von Fr. 29'000.- verursacht, weshalb er auch diesbezüglich Gründe für die Verhängung einer Fernhaltemassnahme gesetzt hat (vgl. Art. 67 Abs. 2 Bst. c AuG).</w:t>
      </w:r>
    </w:p>
    <w:p>
      <w:r>
        <w:rPr>
          <w:b/>
        </w:rPr>
        <w:t>E. 7</w:t>
      </w:r>
    </w:p>
    <w:p>
      <w:r>
        <w:t>7.1.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 des ordnungswidrigen Verhaltens und die persönlichen Verhältnisse des Verfügungsbelasteten bilden dabei den Ausgangspunkt der Überlegungen (vgl. statt vieler HÄFELIN / MÜLLER / UHLMANN, a.a.O., Rz. 613 ff.).</w:t>
      </w:r>
    </w:p>
    <w:p>
      <w:r>
        <w:rPr>
          <w:b/>
        </w:rPr>
        <w:t>E. 7.2</w:t>
      </w:r>
    </w:p>
    <w:p>
      <w:r>
        <w:t>Wie dargelegt, hat der Beschwerdeführer nicht unerheblich gegen ausländerrechtliche Vorschriften verstossen. Das generalpräventiv motivierte öffentliche Interesse, die gesetzliche Ordnung durch eine konsequente Massnahmenpraxis gegenüber ausländischen Personen zu schützen, ist gewichtig. Im vorliegenden Fall treten spezialpräventive Gründe hinzu. Diesbezüglich ist insbesondere zu berücksichtigen, dass der Beschwerdeführer sich unter Angabe einer falschen Identität während mehrerer Jahre rechtswidrig in der Schweiz aufgehalten hat, ohne sich um die Illegalität seiner Anwesenheit zu kümmern und freiwillig Konsequenzen daraus zu ziehen. So widersetzte er sich den behördlich angesetzten Ausreisefristen und musste letztendlich während 138 Tagen in Ausschaffungs- und Durchsetzungshaft genommen werden, was hohe Kosten verursachte. Sein Verhalten vermittelt ganz allgemein das Bild einer Geringschätzung hiesiger Konventionen und Gesetzesnormen. Insofern sind die Voraussetzungen von Art. 67 Abs. 3, 2. Satz AuG erfüllt. Sowohl aus general- wie aus spezialpräventiven Überlegungen besteht daher ein erhebliches öffentliches Interesse daran, ihn mit einem Einreiseverbot von der verhängten Dauer zu belegen. Mit Bezug auf Art. 80 Abs. 2 VZAE führt das bisherige Verhalten des Beschwerdeführers offensichtlich zu einer negativen Prognose. Die Erfahrung deutet auf die erhebliche Wahrscheinlichkeit einer künftigen Gefährdung hin.</w:t>
      </w:r>
    </w:p>
    <w:p>
      <w:r>
        <w:rPr>
          <w:b/>
        </w:rPr>
        <w:t>E. 7.3</w:t>
      </w:r>
    </w:p>
    <w:p>
      <w:r>
        <w:t>Der Einwand des Beschwerdeführers, das Einreiseverbot verwehre jede Möglichkeit zur Flucht in die sichere Schweiz zielt ins Leere, weil damit eine asylrechtliche Frage aufgeworfen wird, welche ohnehin bloss hypothetischen Inhalts ist.</w:t>
      </w:r>
    </w:p>
    <w:p>
      <w:r>
        <w:rPr>
          <w:b/>
        </w:rPr>
        <w:t>E. 7.4</w:t>
      </w:r>
    </w:p>
    <w:p>
      <w:r>
        <w:t>Persönliche Interessen sieht der Beschwerdeführer in der während des Beschwerdeverfahrens geschlossenen Ehe mit einer Schweizer Bürgerin. Er macht diesbezüglich geltend, der "heilige eheliche Frieden" eines weitgehend unbescholtenen Ehepaares werde massiv gestört, was gegen Art. 8 Ziff. 1 EMRK verstosse. Dieser Einwand ist, wie sich aus den nachstehenden Erwägungen ergeben wird, unbegründet: Im vorliegenden Zusammenhang können allfällige Einschränkungen des Privat- bzw. Familienlebens des Beschwerdeführers aufgrund sachlicher bzw. funktioneller Unzuständigkeit des Bundesverwaltungsgerichts nicht Verfahrensgegen-stand sein, soweit sie auf das Fehlen eines dauerhaften Aufenthaltsrechts in der Schweiz zurückzuführen sind (vgl. Urteil des Bundesverwaltungsgerichts C-4509/2009 vom 7. Januar 2010 E. 7.3 mit Hinweisen). Die Erteilung von Aufenthaltsbewilligungen fällt grundsätzlich in die Zuständigkeit der Kantone, wobei im Falle einer Bewilligungserteilung auch das bestehende Einreiseverbot aufzuheben wäre (vgl. Urteil des Bundesgerichts 2C_793/2008 vom 27. März 2009 E. 3.2). Die Wirkungen des Einreiseverbots bestehen zudem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67 Abs. 5 AuG). Die Suspension wird aber praxisgemäss nur für eine kurze Zeit gewährt (zum Ganzen siehe Urteile des Bundesverwaltungsgerichts C-4941/2008 vom 23. November 2009 E.7.3, C-5422/2008 vom 10. Juni 2009 E. 8.6 oder C-1401/2008 vom 20. August 2008 E. 6.5).</w:t>
      </w:r>
    </w:p>
    <w:p>
      <w:r>
        <w:rPr>
          <w:b/>
        </w:rPr>
        <w:t>E. 7.5</w:t>
      </w:r>
    </w:p>
    <w:p>
      <w:r>
        <w:t>Eine wertende Gewichtung der sich entgegenstehenden öffentlichen und privaten Interessen führt das Bundesverwaltungsgericht zum Schluss, dass das auf drei Jahre befristete Einreiseverbot eine verhältnismässige und angemessene Massnahme zum Schutz der öffentlichen Sicherheit und Ordnung darstellt. 8.Aus diesen Erwägungen folgt, dass sich die angefochtene Verfügung im Ergebnis als rechtmässig erweist (Art. 49 VwVG). Die Beschwerde ist daher abzuweisen. 9.Entsprechend dem Ausgang des Verfahrens sind dem Beschwerdeführer die Kosten aufzuerlegen (Art. 63 Abs. 1 VwVG i.V.m.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