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C-5982/2009 vom 23. Mai 2011</w:t>
      </w:r>
    </w:p>
    <w:p>
      <w:r>
        <w:t>Bundesverwaltungsgericht, 2011-05-23, FR</w:t>
      </w:r>
    </w:p>
    <w:p>
      <w:r>
        <w:rPr>
          <w:b/>
        </w:rPr>
        <w:t xml:space="preserve">Quelle: </w:t>
      </w:r>
      <w:r>
        <w:t>https://mcp.opencaselaw.ch/entscheid/bvger_C-5982_2009</w:t>
      </w:r>
    </w:p>
    <w:p>
      <w:r>
        <w:t>FR: TAF C-5982/2009 du 23 mai 2011</w:t>
      </w:r>
    </w:p>
    <w:p>
      <w:r>
        <w:t>IT: TAF C-5982/2009 del 23 maggio 2011</w:t>
      </w:r>
    </w:p>
    <w:p>
      <w:pPr>
        <w:pStyle w:val="Heading2"/>
      </w:pPr>
      <w:r>
        <w:t>Regeste</w:t>
      </w:r>
    </w:p>
    <w:p>
      <w:r>
        <w:t>Révision de la rente</w:t>
      </w:r>
    </w:p>
    <w:p>
      <w:pPr>
        <w:pStyle w:val="Heading2"/>
      </w:pPr>
      <w:r>
        <w:t>Erwägungen</w:t>
      </w:r>
    </w:p>
    <w:p>
      <w:r>
        <w:rPr>
          <w:b/>
        </w:rPr>
        <w:t>E. 12</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Il faut donc procéder à une évaluation de l'invalidité, selon la méthode générale, par une comparaison de revenus indexés à 2007 et non à 2006. En effet, selon la jurisprudence, les salaires avant et après invalidité doivent être indexés jusqu'à la date de la survenance du droit éventuel à la rente ou de la modification en cas de révision, c'est-à-dire lorsque les conditions de santé peuvent être considérées comme stabilisées (ATF 128 V 174 et 129 V 222). Or, le recourant présente une capacité de travail de 100 % dans les activités de substitution depuis le 1er janvier 2007, de sorte que la comparaison de salaire doit être référée à cette année.</w:t>
      </w:r>
    </w:p>
    <w:p>
      <w:r>
        <w:rPr>
          <w:b/>
        </w:rPr>
        <w:t>E. 13.2</w:t>
      </w:r>
    </w:p>
    <w:p>
      <w:r>
        <w:t>En l'espèce, sur la base des indications fournies par le dernier employeur en Suisse du recourant et après indexation jusqu'en 2007, le salaire mensuel sans invalidité se fixe à Fr. 5'393.--.</w:t>
      </w:r>
    </w:p>
    <w:p>
      <w:r>
        <w:rPr>
          <w:b/>
        </w:rPr>
        <w:t>E. 13.3</w:t>
      </w:r>
    </w:p>
    <w:p>
      <w:r>
        <w:t>Le revenu d'invalide tiré des données statistiques, doit tenir compte d'un large éventail d'activités légères existant sur le marché du travail. Un nombre suffisant d'entre elles permettent d'éviter l'utilisation du membre inférieur gauche de manière répétitive et en force, d'engin à vibration, et le port de charge supérieure à 2 kg de manière répétitive et de 5 kg de manière occasionnelle avec le membre supérieur gauche. De plus, la majeure partie de ces postes ne nécessite pas de formation particulière autre qu'une mise à jour initiale. Sur la base des données de l'enquête suisse des salaires publiées par l'Office fédéral des statistiques pour 2006 (ESS; Tableau TA1), les activités de substitution proposées par le service médical de l'OAIE sont des activités simples et répétitives que l'on trouve dans le secteur des services collectifs et personnels (dont le revenu moyen en Suisse en 2006 pour les hommes, niveau de qualification 4 était de Fr. 4'259.--), dans le commerce en gros (Fr. 4'792.--) et de détails (Fr. 4'383.--), soit en moyenne Fr. 4'478.--. Les activités dans le domaine de l'informatique et des services fournies aux entreprises, qui ont été aussi retenues par l'OAIE, apparaissent par contre au Tribunal moins adaptées aux circonstances du cas particulier. Le montant de Fr. 4478.-- doit ensuite être adapté à l'horaire usuel dans le secteur tertiaire et secondaire en 2007 soit une moyenne de 41.5 heures (par rapport aux 40 heures de base, la Vie économique 9-2010, B. 9.2) et indexé à 2007 (1.6 %. La Vie économique 9-2010, B 10.2). On obtient ainsi un revenu mensuel, avec un abattement de 10 % pour tenir compte des circonstances personnelles et professionnelles de l'assuré, de Fr. 4'248.--.</w:t>
      </w:r>
    </w:p>
    <w:p>
      <w:r>
        <w:rPr>
          <w:b/>
        </w:rPr>
        <w:t>E. 13.4</w:t>
      </w:r>
    </w:p>
    <w:p>
      <w:r>
        <w:t>En procédant à la comparaison des deux salaires, selon la formule [(5'393 - 4'248) x 100 : 5'393], l'on obtient une perte de gain de 21 %, correspondant à une capacité de travail de 100 % dans une activité de substitution, valeur qui n'ouvre pas de droit à une rente d'invalidité suisse.</w:t>
      </w:r>
    </w:p>
    <w:p>
      <w:r>
        <w:rPr>
          <w:b/>
        </w:rPr>
        <w:t>E. 14.1</w:t>
      </w:r>
    </w:p>
    <w:p>
      <w:r>
        <w:t>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du TF 9C_368/2010 du 31 janvier 2011 consid. 5.2.2.1 et les références).</w:t>
      </w:r>
    </w:p>
    <w:p>
      <w:r>
        <w:rPr>
          <w:b/>
        </w:rPr>
        <w:t>E. 14.2</w:t>
      </w:r>
    </w:p>
    <w:p>
      <w:r>
        <w:t>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TF précité consid. 5.3).</w:t>
      </w:r>
    </w:p>
    <w:p>
      <w:r>
        <w:rPr>
          <w:b/>
        </w:rPr>
        <w:t>E. 14.3</w:t>
      </w:r>
    </w:p>
    <w:p>
      <w:r>
        <w:t>Dans le cas particulier, le recourant, âgé aujourd'hui de 51 ans, n'a plus travaillé depuis l'octroi de la demi-rente en octobre 2001 puis du trois-quart de rente en janvier 2004. S'il ne peut plus exercer son ancienne activité de peintre en bâtiment, la palette des activités de substitution retenue par le médecin de l'OAIE est très large, sans qu'elles nécessitent d'une formation particulière. Des mesures de réadaptation préalables n'apparaissent donc pas nécessaires.</w:t>
      </w:r>
    </w:p>
    <w:p>
      <w:r>
        <w:rPr>
          <w:b/>
        </w:rPr>
        <w:t>E. 14.4</w:t>
      </w:r>
    </w:p>
    <w:p>
      <w:r>
        <w:t>Par conséquent, c'est à juste titre que l'OAIE a supprimé le trois-quart de rente d'invalidité à partir du 1er octobre 2009. Le recours doit par conséquent être rejeté et la décision attaquée confirmée.</w:t>
      </w:r>
    </w:p>
    <w:p>
      <w:r>
        <w:rPr>
          <w:b/>
        </w:rPr>
        <w:t>E. 15.1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déjà versée.</w:t>
      </w:r>
    </w:p>
    <w:p>
      <w:r>
        <w:rPr>
          <w:b/>
        </w:rPr>
        <w:t>E. 15.2</w:t>
      </w:r>
    </w:p>
    <w:p>
      <w:r>
        <w:t>Il n'est pas alloué de dépens (art. 64 al. 1 PA a contrario en relation avec les art. 7ss FITAF). (dispositif à la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