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C-5979/2019 vom 12. September 2022</w:t>
      </w:r>
    </w:p>
    <w:p>
      <w:r>
        <w:t>Bundesverwaltungsgericht, 2022-09-12, DE</w:t>
      </w:r>
    </w:p>
    <w:p>
      <w:r>
        <w:rPr>
          <w:b/>
        </w:rPr>
        <w:t xml:space="preserve">Quelle: </w:t>
      </w:r>
      <w:r>
        <w:t>https://mcp.opencaselaw.ch/entscheid/bvger_C-5979_2019</w:t>
      </w:r>
    </w:p>
    <w:p>
      <w:r>
        <w:t>FR: TAF C-5979/2019 du 12 septembre 2022</w:t>
      </w:r>
    </w:p>
    <w:p>
      <w:r>
        <w:t>IT: TAF C-5979/2019 del 12 settembre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10. Oktober 2019, mit welcher im Rahmen der dreijährlichen Überprüfung der Aufnahmebedingungen der Publikums- preis (PP) von B._______ Oral per 1. Dezember 2019 gesenkt wurde (Sen- kungssatz FAP auf der umsatzstärksten Packung: -[…] %). Prozessthema bildet die angeordnete Preissenkung.</w:t>
      </w:r>
    </w:p>
    <w:p>
      <w:r>
        <w:rPr>
          <w:b/>
        </w:rPr>
        <w:t>E. 3.1</w:t>
      </w:r>
    </w:p>
    <w:p>
      <w:r>
        <w:t>Die Beschwerdeführerin kann im Rahmen des Beschwerdeverfahrens die Verletzung von Bundesrecht unter Einschluss des Missbrauchs oder</w:t>
      </w:r>
    </w:p>
    <w:p>
      <w:r>
        <w:t>C-5979/2019 Seite 6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(SL) 2017 (www.bag.admin.ch &gt; Ver- sicherungen &gt; Krankenversicherung &gt; Bezeichnung der Leistungen &gt; An- tragsprozesse Arzneimittel, abgerufen am 25. Juli 2022; in seiner [aktuells- ten] Fassung vom 1. Mai 2017, nachfolgend: SL-Handbuch) erlassen, bei dem es sich um eine Verwaltungsverordnung handelt, also um eine gene- ralisierte Dienstanweisung, welche der Gewährleistung einer einheitlichen, verhältnismässigen Verwaltungspraxis und der Sicherstellung der willkür- freien und rechtsgleichen Behandlung dient (vgl. etwa RHINOW/KOL- LER/KISS, Öffentliches Prozessrecht und Justizverfassungsrecht des Bun- des, 1996, Rz. 1038; Urteil des Bundesverwaltungsgerichts [BVGer] C- 2095/2006 vom 9. April 2007 E. 3.5). Verwaltungsverordnungen müssen in jedem Fall durch ausreichende rechtssatzmässige Regelungen gedeckt sein. Sie sind zwar nicht als unmittelbar anwendbare Rechtssätze zu qua- lifizieren, können jedoch als Auslegungshilfen herangezogen werden, ins- besondere dann, wenn es um die Anwendung unbestimmter Rechtsbe- griffe im konkreten Einzelfall geht (vgl. Urteile des BVGer C-5926/2008</w:t>
      </w:r>
    </w:p>
    <w:p>
      <w:r>
        <w:t>C-5979/2019 Seite 7 vom 1. September 2011 E. 3.5 und C-2263/2006 vom 7. November 2007 E. 5.1). Sie binden den Richter aber nicht (BGE 127 V 65 E. 1.1.1 m.H.).</w:t>
      </w:r>
    </w:p>
    <w:p>
      <w:r>
        <w:rPr>
          <w:b/>
        </w:rPr>
        <w:t>E. 4</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10. Oktober 2019 geltenden materiellen Bestimmungen (vgl. Urteil des BVGer C-5912/2013 vom 30. April 2015 [nicht in BVGE 2015/51 publi- zierte] E. 2.3). Dazu gehören neben dem Bundesgesetz vom 18. März 1994 über die Krankenversicherung (KVG; SR 832.10; in der ab 1. Juli 2019 gültigen Fassung) insbesondere die Verordnung vom 27. Juni 1995 über die Krankenversicherung (KVV; SR 832.102; in der ab 1. Januar 2019 gültigen Fassung) und die Krankenpflege-Leistungsverordnung vom 29. September 1995 (KLV; SR 832.112.31; in der ab 1. Oktober 2019 gül- tigen Fassung).</w:t>
      </w:r>
    </w:p>
    <w:p>
      <w:r>
        <w:rPr>
          <w:b/>
        </w:rPr>
        <w:t>E. 5</w:t>
      </w:r>
    </w:p>
    <w:p>
      <w:r>
        <w:t>Für die Bestimmung und Überprüfung der SL-Preise von Arzneimitteln sind im Wesentlichen die folgenden Bestimmungen massgebend:</w:t>
      </w:r>
    </w:p>
    <w:p>
      <w:r>
        <w:rPr>
          <w:b/>
        </w:rPr>
        <w:t>E. 5.1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C-5979/2019 Seite 8</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OKP (vgl. BGE 145 V 289 E. 2.1).</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voraus, dass es wirksam, zweckmässig und wirtschaftlich ist und eine gül- tige Zulassung des Heilmittelinstituts (Swissmedic) vorliegt (Art. 65 Abs. 1 und 3 KVV).</w:t>
      </w:r>
    </w:p>
    <w:p>
      <w:r>
        <w:rPr>
          <w:b/>
        </w:rPr>
        <w:t>E. 5.4.3</w:t>
      </w:r>
    </w:p>
    <w:p>
      <w:r>
        <w:t>Ein Arzneimittel gilt nach Art. 65b KVV («Beurteilung der Wirtschaft- lichkeit»; in der Fassung gemäss Änderung vom 1. Februar 2017, in Kraft seit 1. März 2017; AS 2017 623) als wirtschaftlich, wenn es die indizierte Heilwirkung mit möglichst geringem finanziellem Aufwand gewährleistet (Abs. 1). Die Wirtschaftlichkeit wird gemäss Abs. 2 aufgrund folgender Ver- gleiche beurteilt: a. Vergleich mit dem Preis in Referenzländern (Auslandpreisvergleich); b. Vergleich mit anderen Arzneimitteln (therapeutischer Quervergleich). Beim Auslandpreisvergleich wird mit dem Fabrikabgabepreis verglichen (vgl. dazu näher Art. 65b Abs. 3 und 4 KVV).</w:t>
      </w:r>
    </w:p>
    <w:p>
      <w:r>
        <w:t>C-5979/2019 Seite 9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w:t>
      </w:r>
    </w:p>
    <w:p>
      <w:r>
        <w:rPr>
          <w:b/>
        </w:rPr>
        <w:t>E. 5.4.4</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5.4.5</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t>C-5979/2019 Seite 10</w:t>
      </w:r>
    </w:p>
    <w:p>
      <w:r>
        <w:rPr>
          <w:b/>
        </w:rPr>
        <w:t>E. 5.4.6</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5.4.7</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 Das Bundesamt führt die entsprechende Überprüfung einmal pro Ka- lenderjahr durch. Es überprüft dabei Arzneimittel, die sich in der gleichen therapeutischen Gruppe (IT-Gruppe) der SL befinden, gleichzeitig (Art. 34d Abs. 1 KLV).</w:t>
      </w:r>
    </w:p>
    <w:p>
      <w:r>
        <w:rPr>
          <w:b/>
        </w:rPr>
        <w:t>E. 6</w:t>
      </w:r>
    </w:p>
    <w:p>
      <w:r>
        <w:t>Weiter sind die von der Rechtsprechung entwickelten Grundsätze zur drei- jährlichen Überprüfung und dabei insbesondere zum TQV darzulegen:</w:t>
      </w:r>
    </w:p>
    <w:p>
      <w:r>
        <w:rPr>
          <w:b/>
        </w:rPr>
        <w:t>E. 6.1</w:t>
      </w:r>
    </w:p>
    <w:p>
      <w:r>
        <w:t>Wie bereits erwähnt (vgl. E. 5.4.3 f. hiervor), werden bei der Durchfüh- rung des TQV nach Art. 65b Abs. 2 Bst. b KVV, Art.65b Abs. 4bis KVV und Art. 34f Abs. 1 KLV diejenigen Originalpräparate berücksichtigt, die zur Be- handlung derselben Krankheit eingesetzt werden und zum Zeitpunkt der</w:t>
      </w:r>
    </w:p>
    <w:p>
      <w:r>
        <w:t>C-5979/2019 Seite 11 Überprüfung in der SL aufgeführt sind. Zu diesen, per 1. März 2017 neu gefassten Bestimmungen hatte das BAG sich vorgängig dahingehend ge- äussert, dass die Wirksamkeit und die Kosten neu im Verhältnis zu ande- ren Arzneimitteln, die bisher zur Therapie einer Krankheit eingesetzt wor- den seien, überprüft würden. Denn wesentlich sei, dass Arzneimittel, die für den TQV herangezogen würden, bisher eine andere Möglichkeit zur Behandlung einer bestimmten Erkrankung dargestellt hätten. Diese ver- gleichende Wertung mehrerer Arzneimittel, wie sie im Rahmen des TQV stattfindet, bildet stets den zentralen Bestandteil der Beurteilung der Wirt- schaftlichkeit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Nicht massgebend sind Art und Menge des Wirkstoffs der zu vergleichenden Präparate. Auch kann sich unter Um- ständen der Preisvergleich auf ein einziges (Konkurrenz-)Präparat be- schränken (BGE 137 V 295 E. 6.3.2 m.H. auf BGE 127 V 275 E. 2b). Bei der Beurteilung der Vergleichbarkeit der Präparate ist auf den Wortlaut der heilmittelrechtlichen Zulassung bzw. der entsprechenden Fachinformation abzustellen, zumal ein Arzneimittel nur in den Grenzen der von Swissmedic zugelassenen Indikationen und Anwendungsvorschriften in die SL aufge- nommen werden darf. Die therapeutische Gleichwertigkeit muss dabei mit klinischen Studien belegt werden (BGE 143 V 369 E. 6 m.H.).</w:t>
      </w:r>
    </w:p>
    <w:p>
      <w:r>
        <w:rPr>
          <w:b/>
        </w:rPr>
        <w:t>E. 6.3</w:t>
      </w:r>
    </w:p>
    <w:p>
      <w:r>
        <w:t>Nach ständiger Praxis zur Wirtschaftlichkeit von Arzneimitteln kommt dem Kriterium der Wirksamkeit (Art. 32 Abs. 1 KVG), im Besonderen bei der vergleichenden Wertung mehrerer zum gleichen Behandlungszweck zur Verfügung stehender Heilmittel, massgebende Bedeutung zu. Ein Preisvergleich darf nicht vorgenommen werden, ohne dass zur Frage der allenfalls besseren Wirksamkeit des streitigen Präparates Stellung genom- men wird (BGE 127 V 275 2b m.H.). Lässt ein Arzneimittel, durch wissen- schaftliche Studien nachgewiesen, den Heilerfolg in kürzerer Zeit, mit we- niger Nebenwirkungen und geringerer Rückfallrate erwarten als ein ande- res Arzneimittel gleicher Indikation oder ähnlicher Wirkungsweise, ist dem</w:t>
      </w:r>
    </w:p>
    <w:p>
      <w:r>
        <w:t>C-5979/2019 Seite 12 beim Preisvergleich, allenfalls unter dem Gesichtspunkt der Kosten der An- wendung, Rechnung zu tragen (BGE 147 V 194 E. 5.5; 137 V 295 E. 6.3.2; 127 V 275 E. 2b m.H. auf BGE 109 V 191 E. 5a; Urteil des BGer 9C_792/2016 vom 27. November 2017 E. 6.2 m.w.H.).</w:t>
      </w:r>
    </w:p>
    <w:p>
      <w:r>
        <w:rPr>
          <w:b/>
        </w:rPr>
        <w:t>E. 6.4</w:t>
      </w:r>
    </w:p>
    <w:p>
      <w:r>
        <w:t>Gemäss aArt. 34 KLV (gültig bis 28. Februar 2017) stand es im Ermes- sen der Verwaltung, im konkreten Einzelfall in einem ersten Schritt zu ent- scheiden, anhand welcher der beiden Kriterien – gleiche Indikation oder ähnliche Wirkungsweise – die Menge der potentiellen Vergleichsarzneimit- tel zu bilden ist, in einem zweiten Schritt, welche und auch wie viele der in Frage kommenden Arzneimittel vor dem Hintergrund der gesetzlich ange- 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 nichts geändert (BGE 147 V 194 E. 5.2.2). Ebenso nicht, dass bei der Beurteilung der Vergleichbarkeit der Präparate auf den Wortlaut der heilmittelrechtlichen Zulassung bzw. der entsprechen- den Fachinformation abzustellen ist, zumal ein Arzneimittel nur in den Grenzen der von Swissmedic zugelassenen Indikationen und Anwen- dungsvorschriften in die SL aufgenommen werden darf (BGE 147 V 194 E. 5.3.2 i.V.m. E. 5.3.1 mit Hinweis auf BGE 143 V 369 E. 6, worin festge- halten wird, dass die SL-Zulassung namentlich in Bezug auf die Indikatio- nen nicht weiter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Vergleichbarkeit gegeben ist, darf sich das Vergleichsprä- parat hinsichtlich seiner Wirkungsweise oder Indikation nicht wesentlich vom zu überprüfenden Arzneimittel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des BVGer C-7112/2017 vom 26. Sep- tember 2019 E. 7.3.1 m.H.; zu weiteren Selektionsschritten neben der In- dikation, vgl. Urteil des BGer 9C_354/2017 E. 6.5). Die Rechtsprechung hat mithin im Rahmen des TQV eine Vergleichbarkeit nur bejaht, sofern sich das Vergleichspräparat hinsichtlich der Wirkungsweise oder Indikation</w:t>
      </w:r>
    </w:p>
    <w:p>
      <w:r>
        <w:t>C-5979/2019 Seite 13 nicht wesentlich vom zu überprüfenden Arzneimittel unterscheidet, woran die neuen Normen nichts ändern (vgl. BGE 147 V 194 E. 5.3.1 f.).</w:t>
      </w:r>
    </w:p>
    <w:p>
      <w:r>
        <w:rPr>
          <w:b/>
        </w:rPr>
        <w:t>E. 6.5</w:t>
      </w:r>
    </w:p>
    <w:p>
      <w:r>
        <w:t>Dass die Wirksamkeit und die Kosten neu (mit Verordnungsänderung per 1.3.2017) im Verhältnis zu anderen Arzneimitteln, die bisher zur Thera- pie einer Krankheit eingesetzt worden seien resp. eine andere Möglichkeit zur Behandlung einer bestimmten Krankheit dargestellt hätte, überprüft würden, stellt eine Präzisierung resp. eine Klärung als Folge der einschlä- gigen Judikatur auf Verordnungsstufe dar; es handelt sich nicht um einen bewussten Bruch mit den bisherigen in diesem Bereich ergangenen Leit- 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Sie müssen daher wie das zu überprüfende Ausgangsarzneimittel zur Behandlung derselben Krank- heit(en) (Art. 34f Abs. 1 KLV) einsetzbar – und in der konkreten medizini- schen Behandlungssituation lege artis mit diesem austauschbar sein (in der gleichen Therapielinie; vgl. auch Urteil C-7133/2017 vom 16. Februar 2021 E. 7.5 f.; BGE 143 V 369 E. 5.2 spricht von Gleichrangigkeit). Die therapeutische Äquivalenz bzw. Gleichwertigkeit muss dabei mit klinischen Studien belegt sein (vgl. BGE 147 V 194 E. 5.3.1 mit Hinweis; vgl. auch Ziff. 2.1.4 SL-Handbuch und Urteil des BVGer C-5962/2019 vom 25. Okto- ber 2021 E. 7.3; als Beispiel einer Indikations-Limitierung, vgl. Urteil C- 415/2020 vom 16. November 2021). Dies entspricht schliesslich auch dem im SL-Handbuch genannten Prinzip der Therapiealternative (vgl. SL-Hand- buch Ziff. C.2.1.1 und C.2.1.2).</w:t>
      </w:r>
    </w:p>
    <w:p>
      <w:r>
        <w:rPr>
          <w:b/>
        </w:rPr>
        <w:t>E. 6.6</w:t>
      </w:r>
    </w:p>
    <w:p>
      <w:r>
        <w:t>Im Weiteren hat das Bundesgericht der Vorinstanz bezüglich der Aus- wahl der Vergleichspräparate einen weiten Ermessensspielraum zuer- kannt (vgl. BGE 143 V 369 E. 5.3.3; Urteil 9C_792/2016; vgl. auch Urteil des BVGer C-7112/2017 E. 7.3.2 m.w.H.). Die Frage der Wirtschaftlichkeit beantwortet sich nicht nach Massgabe eines «Durchschnittspreises» sämt- licher zum gleichen Behandlungszweck zur Verfügung stehender Arznei- mittel. Den Bestrebungen des Gesetzgebers zur Kosteneindämmung im Gesundheitswesen entsprechend ist vielmehr zu prüfen, ob (gleich wirk- same und zweckmässige) Arzneimittel zur Verfügung stehen, welche kos- tengünstiger als das zu überprüfende Arzneimittel sind (vgl. BGE 143 V</w:t>
      </w:r>
    </w:p>
    <w:p>
      <w:r>
        <w:t>C-5979/2019 Seite 14 369 E. 5.4.3). Zu beurteilen bleibt in jedem Einzelfall, ob das Bundesamt bei der Auswahl der Vergleichspräparate sein weites Ermessen sachge- recht ausgeübt hat (Urteil des BGer 9C_190/2020 vom 13. November 2020 E. 3.2.2; vgl. auch Urteil C-7112/2017 E. 7.3.2 m.w.H.).</w:t>
      </w:r>
    </w:p>
    <w:p>
      <w:r>
        <w:rPr>
          <w:b/>
        </w:rPr>
        <w:t>E. 6.7</w:t>
      </w:r>
    </w:p>
    <w:p>
      <w:r>
        <w:t>Nach der geltenden Rechtsprechung erfordert die Überprüfung der Wirtschaftlichkeit grundsätzlich immer eine Prüfung anhand des TQV wie auch des APV. Eine (unechte) Ausnahme von diesem Grundsatz bilden al- lerdings Fälle, in denen kein Vergleichspräparat für den TQV zur Verfügung steht (BVGE 2015/51 E. 4.5.7 und 8.5.3). Steht kein Vergleichspräparat zur Verfügung, so ist es nach der Rechtsprechung nicht zu beanstanden, dass kein TQV durchgeführt und die Wirtschaftlichkeit allein anhand des APV beurteilt wird (Urteile des BVGer C-356/2013 vom 24. November 2016 E. 6.4.2; C-5818/2012 vom 1. September 2015 E. 9.5; Urteil des BGer K 148/06 vom 3. April 2007 E. 6.3; GEBHARD EUGSTER, in: Ulrich Meyer [Hrsg.], Schweizerisches Bundesverwaltungsrecht, Soziale Sicherheit, 3. Aufl. 2016, Bd. XIV, S. 627 Rz. 716). Im Einklang mit dieser Rechtspre- chung sieht Ziff. C.2.1.7 des SL-Handbuchs denn auch vor, dass kein TQV durchgeführt wird, wenn das zu überprüfende Arzneimittel das einzige Arz- neimittel für die infrage stehende Indikation darstellt.</w:t>
      </w:r>
    </w:p>
    <w:p>
      <w:r>
        <w:rPr>
          <w:b/>
        </w:rPr>
        <w:t>E. 7</w:t>
      </w:r>
    </w:p>
    <w:p>
      <w:r>
        <w:t>Unbestritten ist, dass B._______ Oral nach wie vor über eine gültige Zu- lassung des Heilmittelinstituts (Swissmedic) verfügt (siehe auch die Liste der zugelassenen Präparate auf www.swissmedic.ch &gt; Services und Lis- ten &gt; Listen und Verzeichnisse &gt; 1. Humanarzneimittel, zuletzt besucht am 25. Juli 2022) und die Aufnahmebedingungen der Wirksamkeit und Zweck- mässigkeit nach wie vor erfüllt. Im Weiteren wird die Rechtmässigkeit des von der Vorinstanz durchgeführten APV nicht bestritten (vgl. BVGer-act. 1, S. 6 Ziff. 9). Umstritten und zu prüfen ist hingegen, ob die Vorinstanz im Rahmen der dreijährlichen Überprüfung der Aufnahmebedingungen den therapeutischen Quervergleich korrekt durchgeführt hat. Die Beschwerde- führerin macht geltend, dass für B._______ Oral kein geeignetes Ver- gleichspräparat zur Verfügung stehe und somit auch kein TQV durchge- führt werden könne. Die Vorinstanz erachtet demgegenüber das Präparat E._______ als Therapiealternative zu B._______ Oral. Dies ist im Folgen- den zu prüfen.</w:t>
      </w:r>
    </w:p>
    <w:p>
      <w:r>
        <w:rPr>
          <w:b/>
        </w:rPr>
        <w:t>E. 7.1</w:t>
      </w:r>
    </w:p>
    <w:p>
      <w:r>
        <w:t>Die Beschwerdeführerin macht in der Beschwerde geltend, B._______ sei das einzige Arzneimittel, welches in erster Linie zur prophylaktischen Behandlung von (…) I._______ eingesetzt werde. Dies liege hauptsächlich</w:t>
      </w:r>
    </w:p>
    <w:p>
      <w:r>
        <w:t>C-5979/2019 Seite 15 daran, dass B._______ langfristig eingesetzt werden könne, da es sehr gut verträglich sei und wenige Nebenwirkungen aufweise. Am L._______ ([…]) (…) werde gemäss der durch den Rechtsvertreter persönlich eingeholten Expertenmeinung (Prof. Dr. med. J._______, Ärztlicher Leiter des I._______zentrums der K.______) I._______ bzw. J._______ in erster Li- nie mit B._______ behandelt. Nur in Fällen, in denen B._______ keine Wir- kung zeige, werde nach rund zwei bis drei Monaten Behandlung mit B._______ zu E._______ übergegangen. Da E._______ jedoch kein Lang- zeitarzneimittel darstelle, werde dieses nur ca. ein bis drei Monate einge- setzt. Der Grund, weshalb E._______ erst in zweiter Linie eingesetzt werde, seien dessen zahlreichen Nebenwirkungen. Eine der markantesten Nebenwirkungen von E._______ sei O._______ ([…]), welche Patienten an der Ausübung zahlreicher Tätigkeiten hindere. Zudem sei E._______ im Falle von S._______, T._______ oder U._______ sogar kontraindiziert. Bei ausgeprägter arterieller Hypertonie sei ausserdem Vorsicht geboten. An- gesichts der Tatsache, dass das Risiko, im Laufe des Lebens an einer U._______ zu erkranken, international bei (…) % liege, sei E._______ sehr häufig kontraindiziert und könne nicht eingesetzt werden. Gemäss dem 2018 veröffentlichten "International consensus [ICON] on treatment of J._______" würden für die medikamentöse Therapie sogar nur M._______ und C._______ empfohlen – E._______ werde nicht einmal erwähnt (vgl. BVGer-act. 1).</w:t>
      </w:r>
    </w:p>
    <w:p>
      <w:r>
        <w:rPr>
          <w:b/>
        </w:rPr>
        <w:t>E. 7.2</w:t>
      </w:r>
    </w:p>
    <w:p>
      <w:r>
        <w:t>Die Vorinstanz hält in der Vernehmlassung dagegen, die Beschwerde- führerin habe im vorinstanzlichen Verfahren den Einbezug von E._______ als Vergleichsarzneimittel im TQV von B._______ akzeptiert. B._______ und E._______ seien beide zur Behandlung von I._______ wegen (…) so- wie beim J._______ indiziert. Die Indikationen seien keineswegs auf eine bestimmte Therapielinie eingeschränkt. Auch die Vergütung von E._______ sei nicht durch eine Limitierung auf eine nachfolgende Thera- pielinie eingeschränkt. Betreffend Nebenwirkungen von E._______ sei festzuhalten, dass die O._______ vorwiegend bei Behandlungsbeginn auf- trete und im Laufe der Therapie abnehme. Im Hinblick auf das Vorbringen der Beschwerdeführerin, B._______ eigne sich im Gegensatz zu E._______ zur Langzeitanwendung, finde sich in keiner der beiden Fachin- formationen ein diesbezüglicher Hinweis. Zusammengefasst stelle E._______ eindeutig eine Therapiealternative zu B._______ dar (vgl. BVGer-act. 11).</w:t>
      </w:r>
    </w:p>
    <w:p>
      <w:r>
        <w:rPr>
          <w:b/>
        </w:rPr>
        <w:t>E. 7.3</w:t>
      </w:r>
    </w:p>
    <w:p>
      <w:r>
        <w:t>Replikweise bringt die Beschwerdeführerin vor, sie wäre im vorinstanz- lichen Verfahren nur dann mit dem Einbezug von E._______ einverstanden</w:t>
      </w:r>
    </w:p>
    <w:p>
      <w:r>
        <w:t>C-5979/2019 Seite 16 gewesen, wenn auch die Arzneimittel G._______ und D._______ im TQV berücksichtigt worden wären. Ein TQV nur mit E._______ sei hingegen nicht sachgerecht. Aufgrund seines ungünstigen Nebenwirkungsprofils, welches sich direkt aus der Fachinformation ergebe, werde E._______ erst in der zweiten Therapielinie eingesetzt. Der Einwand der Vorinstanz, die Nebenwirkung O._______ trete vorwiegend bei Behandlungsbeginn auf und nehme im Laufe der Therapie ab, überzeuge nicht, denn auch Neben- wirkungen bei Behandlungsbeginn bewirkten, dass ein Arzneimittel erst in zweiter Linie eingesetzt werde. Zudem belege die Vorinstanz ihre Behaup- tung auch nicht. Es sei vielmehr davon auszugehen, dass diese Nebenwir- kung während der gesamten Therapiedauer auftrete. Der Grund für die be- deutend bessere Eignung von B._______ für die Langzeitanwendung liege ebenfalls im ungünstigen Nebenwirkungsprofil von E._______. Entspre- chend seien B._______ und E._______ nicht als austauschbare Behand- lungsalternativen zu qualifizieren. Selbst wenn E._______ als Therapieal- ternative qualifiziert und im TQV berücksichtigt würde, so wäre aber auf jeden Fall der unterschiedlichen Wirksamkeit der beiden Arzneimittel Rech- nung zu tragen, was die Vorinstanz nicht gemacht habe (vgl. BVGer-act. 18).</w:t>
      </w:r>
    </w:p>
    <w:p>
      <w:r>
        <w:rPr>
          <w:b/>
        </w:rPr>
        <w:t>E. 7.4</w:t>
      </w:r>
    </w:p>
    <w:p>
      <w:r>
        <w:t>In ihrer Duplik macht die Vorinstanz geltend, es sei nicht nachvollzieh- bar, weshalb E._______ aus Sicht der Beschwerdeführerin nur dann eine Therapiealternative sein solle, wenn weitere Arzneimittel im TQV berück- sichtigt würden. Weiter gebe es weder in der Fachinformation noch in einer Limitierung der Spezialitätenliste Hinweise darauf, dass E._______ erst in einer späteren Therapielinie eingesetzt werde als B._______. Zudem führe E._______ nicht zu derart schweren oder längerdauernden Nebenwirkun- gen, dass auch ohne Hinweis in der Fachinformation auf eine zwingende Anwendung erst in zweiter Therapielinie geschlossen werden müsste, die den Vergleich von B._______ mit E._______ ausschlösse. Entsprechend sei das von der Beschwerdeführerin angeführte Urteil des Bundesverwal- tungsgerichts C-5696/2018 vom 8. Juni 2020, in dem es um ein Arzneimit- tel mit schweren, teilweise sogar tödlichen Nebenwirkungen gegangen sei und sich die spätere Therapielinie bereits aus der Fachinformation ergeben habe, nicht auf den vorliegenden Fall anwendbar. Schliesslich ergebe es sich aus der Fachinformation zu E._______, dass die Nebenwirkung O._______ vor allem zu Beginn der Therapie auftrete (vgl. BVGer-act. 28).</w:t>
      </w:r>
    </w:p>
    <w:p>
      <w:r>
        <w:rPr>
          <w:b/>
        </w:rPr>
        <w:t>E. 8</w:t>
      </w:r>
    </w:p>
    <w:p>
      <w:r>
        <w:t>Unter Berücksichtigung der unter E. 6 dargelegten Rechtsprechung, der von den Parteien gemachten Ausführungen und des Umstands, dass bei</w:t>
      </w:r>
    </w:p>
    <w:p>
      <w:r>
        <w:t>C-5979/2019 Seite 17 der Beurteilung der Vergleichbarkeit der Präparate zwecks Einbezugs in den TQV gemäss ständiger Rechtsprechung auf den Wortlaut der heilmit- telrechtlichen Zulassung bzw. der entsprechenden Fachinformation abzu- stellen ist (vgl. dazu insbesondere BGE 143 V 369 E. 6), drängt sich ein Vergleich der Fachinformationen von B._______ und E._______ insbeson- dere in Bezug auf Indikation, Wirkungsmechanismus, Kontraindikationen und unerwünschte Arzneimittelwirkungen (nachfolgend auch: UAW) auf.</w:t>
      </w:r>
    </w:p>
    <w:p>
      <w:r>
        <w:rPr>
          <w:b/>
        </w:rPr>
        <w:t>E. 8.1.1</w:t>
      </w:r>
    </w:p>
    <w:p>
      <w:r>
        <w:t>B._______ ist gemäss Fachinformation (BVGer-act. 1, Beilage 3) in- diziert bei (1) "I._______, der auf (…) zurückzuführen ist", und bei (2) "J._______ und (…) ([…])" (vgl. "Indikationen/Anwendungsmöglichkei- ten"). B._______ enthält den Wirkstoff C._______, welcher als partieller N._______(…) (…) und N._______-(…) (…) auch im (…) Gewebe wirkt. C._______ erhöht den N._______-Turnover und die N._______-Freiset- zung sehr wahrscheinlich durch Blockierung der (…) und induziert eine Down-Regulierung der (…). Die Wirksamkeit von C._______ wurde in Stu- dien bei Patienten mit (…) I._______ und J._______ gezeigt, wie auch durch die Verbesserung der Schwere und Häufigkeit von I._______(…) de- monstriert (vgl. "Eigenschaften/Wirkungen"). Patienten, die an P._______ leiden, dürfen nicht mit B._______ behandelt werden (vgl. "Kontraindikati- onen"). Patienten mit Q._______ und Patienten mit R.________ in der Anamnese müssen während der Behandlung sorgfältig überwacht werden (vgl. "Warnhinweise und Vorsichtsmassnahmen"). Unter der Behandlung mit B._______ wurden als UAW in Placebo-kontrollierten klinischen Stu- dien häufig (…), (…) und (…) beobachtet (vgl. "unerwünschte Wirkungen").</w:t>
      </w:r>
    </w:p>
    <w:p>
      <w:r>
        <w:rPr>
          <w:b/>
        </w:rPr>
        <w:t>E. 8.1.2</w:t>
      </w:r>
    </w:p>
    <w:p>
      <w:r>
        <w:t>E._______ ist gemäss Fachinformation (BVGer-act. 1, Beilage 5) in- diziert bei (1) "(…)" und bei (2) "(…)" (vgl. "Indikationen/Anwendungsmög- lichkeiten"). E._______ enthält den Wirkstoff F._______. F._______ ist ein (…) und hat zudem eine (…)-Wirkung. Es hemmt die Kontraktion der Ge- fässwandmuskelzellen ([…] Effekt) durch die Blockierung der (…). F._______ hemmt die Stimulation des (…), wodurch eine Suppression des (…) und anderen (…) Störungen entsteht. Akute I._______vorfälle können durch F._______ verhindert oder reduziert werden (vgl. "Eigenschaf- ten/Wirkungen"). Bei Patienten mit S._______, T._______ oder U._______ in der Anamnese ist E._______ kontraindiziert (vgl. "Kontraindikationen"). Besonders ältere Patienten müssen während der Therapie auf das Auftre- ten von S._______ und U._______ untersucht werden. Gegebenenfalls ist Vorsicht geboten. E._______ kann insbesondere zu Beginn der Behand-</w:t>
      </w:r>
    </w:p>
    <w:p>
      <w:r>
        <w:t>C-5979/2019 Seite 18 lung O._______ hervorrufen (vgl. "Warnhinweise und Vorsichtsmassnah- men"). Gemäss Daten aus placebokontrollierten Doppelblindstudien trat als UAW häufig O._______ (8.3 %) auf. Gemäss Daten aus Verum-kon- trollierten und Open-Label-Studien traten folgende UAW auf: sehr häufig: O._______ (14.97 %), häufig: Kopfschmerzen (2.1 %), Übelkeit (1.5 %), trockener Mund (1.35 %) und Gewichtszunahme (2.1 %; vgl. "uner- wünschte Wirkungen").</w:t>
      </w:r>
    </w:p>
    <w:p>
      <w:r>
        <w:rPr>
          <w:b/>
        </w:rPr>
        <w:t>E. 8.2</w:t>
      </w:r>
    </w:p>
    <w:p>
      <w:r>
        <w:t>Aus den Fachinformationen ergibt sich, dass die Indikationen von B._______ und E._______ im Wesentlichen übereinstimmen. Sowohl B._______ als auch E._______ sind bei I._______ infolge (…) und J._______ anwendbar. E._______ hat darüber hinaus noch einige weitere Anwendungsmöglichkeiten, was jedoch einer Berücksichtigung im Rah- men eines allenfalls durchzuführenden TQV von B._______ nicht entge- genstehen würde (vgl. oben E. 6.4). Weiter ist den Fachinformationen zu entnehmen, dass sich die Wirkungsweise bzw. der Wirkungsmechanismus der beiden Arzneimittel unterscheidet. Wie ausgeführt, liegt es im Ermes- sen der Vorinstanz, ob sie für den TQV Vergleichsarzneimittel mit gleicher Indikation oder solche mit ähnlicher Wirkungsweise heranzieht (vgl. oben E. 6.4). Dass die Vorinstanz vorliegend das primär massgebliche Kriterium der gleichen Indikation gewählt hat, liegt innerhalb des ihr eingeräumten Ermessensspielraums. Das Gleiche gilt im Übrigen für den im vorinstanzli- chen Verfahren im Rahmen des TQV von B._______ erfolgten Ausschluss der Arzneimittel D._______, welches eine andere Indikation als B._______ hat, und G._______, welches im Gegensatz zum Monoprärat B._______ ein Kombinationspräparat ist. Die Beschwerdeführerin hat im vorliegenden Beschwerdeverfahren die Nichtberücksichtigung dieser Präparate als Ver- gleichsarzneimittel im TQV von B._______ zu Recht auch nicht mehr ge- rügt.</w:t>
      </w:r>
    </w:p>
    <w:p>
      <w:r>
        <w:rPr>
          <w:b/>
        </w:rPr>
        <w:t>E. 8.3.1</w:t>
      </w:r>
    </w:p>
    <w:p>
      <w:r>
        <w:t>Im Hinblick auf die unerwünschten Arzneimittelwirkungen lässt sich den Fachinformationen entnehmen, dass bei B._______ häufig Nausea, Dsypepsie und Kopfschmerzen vorkommen. Bei E._______ sind häufige UAW ebenfalls Übelkeit und Kopfschmerzen, sowie zudem ein trockener Mund und Gewichtszunahme. Eine weitere häufige bis sehr häufige UAW von E._______ ist O._______. Diese UAW ist in der Fachinformation von B._______ nicht aufgeführt, auch nicht unter den weniger häufigen UAW bzw. UAW mit unbekannter Häufigkeit. Zur O._______ lässt sich der Fachinformation zu E._______ entnehmen, dass diese insbesondere zu Beginn der Behandlung hervorgerufen werden könne. An anderer Stelle</w:t>
      </w:r>
    </w:p>
    <w:p>
      <w:r>
        <w:t>C-5979/2019 Seite 19 heisst es, besonders am Anfang der Behandlung könne O._______ auftre- ten und somit das Reaktionsvermögen beeinträchtigen (vgl. BVGer-act. 1, Beilage 5 "Wirkung auf die Fahrtüchtigkeit und auf das Bedienen von Ma- schinen"). Der Umstand, dass die O._______ insbesondere zu Behand- lungsbeginn auftritt, schliesst somit ein Auftreten auch im weiteren Verlauf der Behandlung nicht aus. Die Ansicht der Vorinstanz, wonach die O._______ im Laufe der Therapie abnehme, findet so keine Bestätigung in der Fachinformation, welche sich nicht zur Ausprägung der O._______ bzw. deren Verlauf über die weitere Behandlungsdauer äussert. Die Vo- rinstanz belegt ihre von der Fachinformation abweichende Ansicht auch nicht mit wissenschaftlichen Studien. Somit weist E._______ mit der O._______ eine häufig bis sehr häufig auftretende relevante UAW auf, wel- che bei B._______ nicht vorkommt. Vor diesem Hintergrund und unter Be- rücksichtigung der übrigen in den Fachinformationen erwähnten gelegent- lich bis sehr selten auftretenden UAW erscheint das Nebenwirkungsprofil von B._______ insgesamt klar günstiger als jenes von E._______. Diesbe- züglich ist bereits festzuhalten, dass die Vorinstanz, indem sie dem un- günstigeren Nebenwirkungsprofil von E._______ in dem von ihr durchge- führten TQV keine Rechnung getragen hat, das ihr eingeräumte Ermessen nicht sachgerecht ausgeübt hat.</w:t>
      </w:r>
    </w:p>
    <w:p>
      <w:r>
        <w:rPr>
          <w:b/>
        </w:rPr>
        <w:t>E. 8.3.2</w:t>
      </w:r>
    </w:p>
    <w:p>
      <w:r>
        <w:t>Fraglich ist, ob die UAW von E._______ insgesamt derart ungünstig sind, dass daraus entsprechend der Ansicht der Beschwerdeführerin ab- geleitet werden muss, E._______ könne im Gegensatz zu B._______ nicht als Langzeitarzneimittel eingesetzt werden und komme nach B._______ grundsätzlich nur in zweiter Linie zur Therapie von I._______ und J._______ zur Anwendung. Aus den Fachinformationen ergibt sich diesbe- züglich nichts Explizites. In der Fachinformation zu E._______ findet sich der Hinweis, dass es notwendig sein könne, E._______ über längere Zeit einzunehmen (zum Beispiel ein Minimum von 4 Wochen), um eine optima- les und dauerhaftes Therapieergebnis zu erreichen (vgl. BVGer-act. 1, Bei- lage 5 " Dosierung/Anwendung"). Eine längere Zeit andauernde Einnahme ist somit jedenfalls nicht grundsätzlich ausgeschlossen. Auch ergibt sich weder aus der Fachinformation zu E._______ noch aus der Spezialitäten- liste eine Limitierung in Bezug auf die Indikation. Die Anwendung und Ver- gütung von E._______ ist folglich nicht durch eine explizite Limitierung auf eine nachfolgende Therapielinie eingeschränkt. Dennoch könnte sich grundsätzlich eine solche Einschränkung auf eine nachgeordnete Thera- pielinie aufgrund von im Vergleich zu B._______ ungünstigeren UAW, wie sie in der Fachinformation von E._______ beschrieben werden, indirekt er- geben. Ob dies vorliegend der Fall ist und E._______ aus diesem Grund</w:t>
      </w:r>
    </w:p>
    <w:p>
      <w:r>
        <w:t>C-5979/2019 Seite 20 als nicht gleichwertiges Vergleichsarzneimittel für den TQV von B._______ auszuschliessen ist, kann allerdings letztlich offen bleiben, wie sich nach- folgend zeigt.</w:t>
      </w:r>
    </w:p>
    <w:p>
      <w:r>
        <w:rPr>
          <w:b/>
        </w:rPr>
        <w:t>E. 8.3.3</w:t>
      </w:r>
    </w:p>
    <w:p>
      <w:r>
        <w:t>Wie die Beschwerdeführerin richtig vorbringt, ist E._______ gemäss Fachinformation insbesondere "bei Patienten mit U._______ in der Anam- nese" kontraindiziert (vgl. BVGer-act. 1, Beilage 5, "Kontraindikationen"). Eine entsprechende Kontraindikation findet sich bei B._______ nicht. Die weite Formulierung "U._______ in der Anamnese" umfasst sämtliche For- men und Ausprägungsgrade (…) Störungen – diagnostiziert oder undiag- nostiziert –, an der ein/e Patient/in aktuell leidet oder in der Vergangenheit gelitten hat. Gemäss der von der Beschwerdeführerin ins Recht gelegten S3-Leitlinie/Nationale Versorgungsleitlinie "(…)" der Deutschen Gesell- schaft für (…) ([…]) liegt das Risiko, im Laufe des Lebens an einer U._______ (alle Formen) zu erkranken (Lebenszeitprävalenz), national wie international bei (…) % (vgl. BVGer-act. 1, Beilage 7, S. 17 Ziff. 1.2.1). Im Bulletin "Lebenszeitprävalenzen (…) Erkrankungen" der vom Bund und von den Kantonen getragenen Institution "Schweizerisches Gesund- heitsobservatorium" (Obsan) vom (…) wird ausgeführt, dass die sich als allgemein gültiger Richtwert etablierte Zahl für die Lebenszeitprävalenz (Auftreten einer Störung im Lebensverlauf bis zum Erhebungszeitpunkt) von U._______ von […] % (Lebenszeitrisiko [Hochrechnung der Lebens- zeitprävalenz auf die gesamte Lebenszeit]: […] %) auf Daten aus retro- spektiven Studien basiere. Diese Studien wiesen jedoch methodische Ein- schränkungen auf (Nichterinnern oder Falschinterpretation vergangener Störungen/Symptome), was zu einer Unterschätzung der Häufigkeit von U._______ führe. Prospektive Studien suggerierten, dass die Lebenszeit- prävalenz für U._______ bei etwa (…) % liegen dürfte (vgl. Obsan Bulletin […], abrufbar unter: https://www.obsan.admin.ch/de/[...], zuletzt besucht am 27. Juli 2022). Unabhängig davon, auf welche Zahl vorliegend konkret abgestellt wird, ist die Lebenszeitprävalenz von U._______ jedenfalls sehr hoch, womit die Einsetzbarkeit von E._______ deutlich eingeschränkt ist. Da E._______ nicht nur bei einer aktuell vorliegenden U._______, sondern auch bei U._______ in der Anamnese kontraindiziert ist, kommt die Schwierigkeit hinzu, dass viele Patientinnen und Patienten sich nicht an eine vergangene U._______ erinnern oder entsprechend aufgetretene Symptome nicht als U._______ interpretieren (vgl. Obsan Bulletin […]). Kann bei einem Patienten oder einer Patientin eine U._______ in der Anamnese nicht ausgeschlossen werden, was sehr häufig der Fall sein dürfte, darf aufgrund der in der Fachinformation klar ausgewiesenen Kont- raindikation im Zweifel keine Behandlung mit E._______ erfolgen. Nach</w:t>
      </w:r>
    </w:p>
    <w:p>
      <w:r>
        <w:t>C-5979/2019 Seite 21 dem Gesagten folgt aus der bei E._______ vorliegenden Kontraindikation "U._______ in der Anamnese", dass im Vergleich zu B._______ der mög- liche Anwenderkreis im klinischen Alltag erheblich kleiner ist und E._______ somit bei vielen Patientinnen und Patienten mit I._______ und J._______ bei denen eine Behandlung mit B._______ möglich ist, gar nicht angewendet werden kann. Bereits aufgrund dieser deutlich eingeschränk- ten Einsetzbarkeit von E._______ im Vergleich zu B._______ im Krank- heitsfall handelt es sich bei E._______ nicht um eine tatsächliche und voll- umfänglich austauschbare Therapiealternative zu B._______. Indem die Vorinstanz diesen erheblichen Umstand ausser Acht gelassen hat – auch im vorliegenden Beschwerdeverfahren hat sie sich nicht zum Vorbringen der Beschwerdeführerin, wonach E._______ aufgrund der Kontraindikation U._______ sehr häufig nicht eingesetzt werden könne, geäussert – und E._______ unbesehen als Therapiealternative zu B._______ qualifiziert hat, hat sie das ihr eingeräumte Ermessen nicht sachgerecht ausgeübt. Aufgrund der im Vergleich zu B._______ eingeschränkten Einsetzbarkeit von E._______ in der medizinischen Praxis ist E._______ keine gleichwer- tige Therapiealternative im vorliegend vorausgesetzten Sinn und kann da- her nicht in den TQV einbezogen werden (vgl. Urteil des BGer 9C_740/2020 vom 14. Dezember 2021 E. 6.4.1 und 6.4.2).</w:t>
      </w:r>
    </w:p>
    <w:p>
      <w:r>
        <w:rPr>
          <w:b/>
        </w:rPr>
        <w:t>E. 8.4</w:t>
      </w:r>
    </w:p>
    <w:p>
      <w:r>
        <w:t>Zusammengefasst ergibt sich, dass E._______ im klinischen Alltag in- folge eingeschränkter Austauschbarkeit keine echte Therapiealternative zu B._______ Oral darstellt und dementsprechend nicht als Vergleichsarznei- mittel für den TQV von B._______ Oral herangezogen werden kann. Da auch ansonsten kein Vergleichspräparat für den TQV von B._______ Oral zur Verfügung steht, ist vorliegend, wie von der Beschwerdeführerin bean- tragt, kein TQV durchzuführen und die Wirtschaftlichkeit von B._______ Oral ausnahmsweise allein aufgrund des APV zu beurteilen (vgl. oben E. 6.7).</w:t>
      </w:r>
    </w:p>
    <w:p>
      <w:r>
        <w:rPr>
          <w:b/>
        </w:rPr>
        <w:t>E. 8.5</w:t>
      </w:r>
    </w:p>
    <w:p>
      <w:r>
        <w:t>Wie bereits erwähnt, ist der von der Vorinstanz vorgenommene APV unbestritten. Die Vorinstanz hat festgestellt, dass der bisherige FAP der umsatzstärksten Packung in der Schweiz (B._______ […] mg […] Stk) Fr. (…) beträgt, wohingegen der APV einen durchschnittlichen FAP in den Referenzländern von umgerechnet Fr. (…) ergeben hat. Es resultiert ein prozentualer Unterschied zwischen dem FAP in der Schweiz und dem durchschnittlichen FAP der Referenzländer in Höhe von -(…) % (vgl. BAG- act. 1, Beilage 2). Ausgehend davon ergeben sich die neuen Fabrikabga- bepreise:</w:t>
      </w:r>
    </w:p>
    <w:p>
      <w:r>
        <w:t>C-5979/2019 Seite 22 Arzneimittel FAP bisher FAP neu Berechnung B.______ (…) mg (…) Stk (…) (…) (…) B._______ (…) mg (…) Stk (…) (…) (…) B._______ (…) mg (…) Stk (…) (…) (…) B._______ (…) mg (…) Stk (…) (…) (…) B._______ (…) mg (…) Stk (…) (…) (…) B._______ (…) mg (…) Stk (…) (…) (…)</w:t>
      </w:r>
    </w:p>
    <w:p>
      <w:r>
        <w:rPr>
          <w:b/>
        </w:rPr>
        <w:t>E. 8.6</w:t>
      </w:r>
    </w:p>
    <w:p>
      <w:r>
        <w:t>Anhand des neuen FAP lässt sich der neue Publikumspreis (PP) be- rechnen, indem zum FAP ein Vertriebsanteil (Preiszuschlag und Packungs- zuschlag; Art. 67 Abs. 1quater Bst. a KVV) und 2.5 % Mehrwertsteuer (Art. 25 Abs. 2 Bst. a Ziff. 8 des Bundesgesetzes über die Mehrwertsteuer, SR 641.20 [MWSTG]) hinzugerechnet wird. Gemäss Art. 38 Abs. 1 KLV beträgt der preisbezogene Zuschlag für ver- schreibungspflichtige Arzneimittel bei einem Fabrikabgabepreis bis Fr. 879.99 12 % (Bst. a), ab Fr. 880.– bis Fr. 2'569.99 7 % (Bst. b) und ab Fr. 2'570.– 0 % (Bst. c). In Anwendung von Art. 38 Abs. 2 KLV entspricht der Zuschlag je Packung für verschreibungspflichtige Arzneimittel bei einem Fabrikabgabepreis bis Fr. 4.99: Fr. 4.– (Bst. a), ab Fr. 5.– bis Fr. 10.99: Fr. 8.– (Bst. b) und ab Fr. 11.– bis Fr. 14.99: Fr. 12.– (Bst. c), ab Fr. 15.– bis Fr. 879.99: Fr. 16.– (Bst. d), ab Fr. 880.– bis Fr. 2'569.99: Fr. 60.- (Bst. e) und ab Fr. 2'570.– : Fr. 240.– (Bst. f). Hieraus ergeben sich folgende Publikumspreise: Arzneimittel PP bisher PP neu Berechnung B.______ (…) mg (…) Stk (…) (…) (…)</w:t>
      </w:r>
    </w:p>
    <w:p>
      <w:r>
        <w:t>C-5979/2019 Seite 23 B._______ (…) mg (…) Stk (…) (…) (…) B._______ (…) mg (…) Stk (…) (…) (…) B._______ (…) mg (…) Stk (…) (…) (…) B._______ (…) mg (…) Stk (…) (…) (…) B._______ (…) mg (…) Stk (…) (…) (…)</w:t>
      </w:r>
    </w:p>
    <w:p>
      <w:r>
        <w:rPr>
          <w:b/>
        </w:rPr>
        <w:t>E. 9.1</w:t>
      </w:r>
    </w:p>
    <w:p>
      <w:r>
        <w:t>Die Verfügung der Vorinstanz vom 10. Oktober 2019 ist in Aufhebung von Ziff. 1 des Verfügungsdispositivs reformatorisch dahingehend anzu- passen, als die Publikumspreise per 1. Dezember 2019 wie folgt festge- setzt werden: Arzneimittel PP [CHF] neu B._______ (…) mg (…) Stk B._______ (…) mg (…) Stk B._______ (…) mg (…) Stk B._______ (…) mg (…) Stk B._______ (…) mg (…) Stk B._______ (…) mg (…) Stk (…) (…) (…) (…) (…) (…)</w:t>
      </w:r>
    </w:p>
    <w:p>
      <w:r>
        <w:rPr>
          <w:b/>
        </w:rPr>
        <w:t>E. 9.2</w:t>
      </w:r>
    </w:p>
    <w:p>
      <w:r>
        <w:t>Der vorliegenden Beschwerde kommt von Gesetzes wegen aufschie- bende Wirkung zu (Art. 55 Abs. 1 VwVG). Mit Eintritt der Rechtskraft des vorliegenden Beschwerdeentscheids wird die Preissenkung grundsätzlich rückwirkend per 1. Dezember 2019 in Kraft treten. Über eine allfällige Rückerstattung von Mehreinnahmen hat das Bundesverwaltungsgericht nicht zu entscheiden, vielmehr obliegt es dem BAG dannzumal in Anwen- dung von Art. 67a Abs. 2 Bst. a KVV und Art. 37e Abs. 1 Bst. b KLV darüber zu befinden (vgl. Hinweise hierzu im Urteil des BVGer C-589/2015 vom 2. Mai 2017 E. 6.5).</w:t>
      </w:r>
    </w:p>
    <w:p>
      <w:r>
        <w:rPr>
          <w:b/>
        </w:rPr>
        <w:t>E. 10</w:t>
      </w:r>
    </w:p>
    <w:p>
      <w:r>
        <w:t>Oktober 2019 wurde der Beschwerdeführerin am 11. Oktober 2019 zu- gestellt (vgl. BVGer-act. 1, S. 5 Rz. 4) und damit ordnungsgemäss eröffnet. Da das vorliegende Beschwerdeverfahren somit am 11. Oktober 2019 zu laufen begonnen hat, kann grundsätzlich nur der Aufwand abgegolten wer- den, der nach diesem Zeitpunkt entstanden ist. Vor diesem Zeitpunkt an- gefallener Aufwand gehört noch zum vorinstanzlichen Verfahren und kann nicht entschädigt werden (vgl. Urteil des BGer 9C_857/2012 vom 4. De- zember 2012 E. 4.2). Was den Aufwand von einer Stunde für die einen Monat vor Verfügungseröffnung erfolgte Besprechung mit der Klientin vom</w:t>
      </w:r>
    </w:p>
    <w:p>
      <w:r>
        <w:rPr>
          <w:b/>
        </w:rPr>
        <w:t>E. 10.1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Parteientschädigung für Be- schwerdeverfahren vor dem Bundesverwaltungsgericht umfasst die Kos- ten der Vertretung sowie allfällige weitere Auslagen der Partei, wobei un- nötiger Aufwand nicht entschädigt wird (vgl. Art. 8 VGKE). Die Kosten der Vertretung umfassen insbesondere das Anwaltshonorar, die Auslagen (na- mentlich die Kosten für das Kopieren von Schriftstücken, die Porti und die Telefonspesen) sowie die Mehrwertsteuer für diese Entschädigungen, so- weit eine Steuerpflicht besteht und die Mehrwertsteuer nicht bereits be- rücksichtigt wurde (vgl. Art. 9 Abs. 1 VGKE). Die Rechtsvertreter der Be- schwerdeführerin, Rechtsanwalt Andreas Wildi und Rechtsanwältin Celine Weber, haben am 8. Februar 2022 eine detaillierte Kostennote in Höhe von insgesamt Fr. 32'140.16 eingereicht (BVGer-act. 30).</w:t>
      </w:r>
    </w:p>
    <w:p>
      <w:r>
        <w:rPr>
          <w:b/>
        </w:rPr>
        <w:t>E. 10.2.1</w:t>
      </w:r>
    </w:p>
    <w:p>
      <w:r>
        <w:t>Bei der Festsetzung der Parteientschädigung steht dem Gericht ein weites Ermessen zu (vgl. Urteile des BGer 9C_637/2013 vom 13. Dezem- ber 2013 E. 5.2, 8C_928/2012 vom 26. April 2013 E. 6). Das Abstellen auf die den jeweiligen Zeitaufwand detailliert ausweisende Honorarnote eines Rechtsvertreters erscheint grundsätzlich als sachgerecht (vgl. Urteil des BGer 9C_162/2013 vom 8. August 2013 E. 4.3.2), wobei zu beachten ist, dass nur der notwendige Aufwand zu entschädigen ist (Art. 8 Abs. 2 VGKE; Urteil des BGer 8C_426/2018 vom 10. August 2018 E. 5.3). Für den Fall, dass einzelne Posten der Honorarnote akzeptiert, andere hingegen herab- gesetzt werden, ist jede Reduktion zumindest kurz zu begründen (BGE 141 I 70 E. 5.2 m.H.; Urteil des BGer 8C_833/2015 vom 10. März 2016 E. 4.2).</w:t>
      </w:r>
    </w:p>
    <w:p>
      <w:r>
        <w:rPr>
          <w:b/>
        </w:rPr>
        <w:t>E. 10.2.2</w:t>
      </w:r>
    </w:p>
    <w:p>
      <w:r>
        <w:t>Das von den Rechtsvertretern geltend gemachte Honorar umfasst einen Aufwand für das vorliegende Beschwerdeverfahren von insgesamt 68.3 Stunden bzw. Fr. 30'904.– (bei einem Stundenansatz von Fr. 500.– für Rechtsanwalt Andreas Wildi und einem Stundenansatz von Fr. 360.– bzw.</w:t>
      </w:r>
    </w:p>
    <w:p>
      <w:r>
        <w:t>C-5979/2019 Seite 25 ab dem 1. Januar 2020 Fr. 380.– für Rechtsanwältin Celine Weber) und einer Spesenpauschale von 4 % bzw. Fr. 1'236.16. Mehrwertsteuer wurde keine geltend gemacht.</w:t>
      </w:r>
    </w:p>
    <w:p>
      <w:r>
        <w:rPr>
          <w:b/>
        </w:rPr>
        <w:t>E. 10.2.3</w:t>
      </w:r>
    </w:p>
    <w:p>
      <w:r>
        <w:t>Im vorliegenden Beschwerdeverfahren wurden seitens der Be- schwerdeführerin am 11. November 2019 eine 12-seitige Beschwerde- schrift mit 8 Beilagen (insgesamt 55 Seiten; BVGer-act. 1), am 15. Mai und am 12. Juni 2020 je ein Fristerstreckungsgesuch für die Replik (je eine Seite; BVGer-act. 14 und 16) sowie am 20. August 2020 eine 6-seitige Rep- lik ohne weitere Beilagen (BVGer-act. 18) eingereicht. Die vorinstanzlichen Akten umfassen lediglich die angefochtene Verfügung mit zwei Beilagen sowie einen Ausdruck der in der Internetapplikation getätigten Stellungnah- men der Beschwerdeführerin (eine Seite). Der Sachverhalt erweist sich als wenig komplex – strittig ist einzig die Durchführung des TQV bzw. die Frage, ob das Arzneimittel E._______ eine Therapiealternative zu B._______ darstellt oder nicht. Unter Berücksichtigung des aktenkundigen Aufwands, der Bedeutung der Streitsache und der Schwierigkeit der vor- liegend zu beurteilenden Frage erweist sich der geltend gemachte Auf- wand von 68.3 Stunden als deutlich überhöht. Allein für die Ausarbeitung der Beschwerde im Zeitraum vom 18. Oktober bis 11. November 2019 ("fi- nal work on appeal and filing") wird ein Aufwand von insgesamt 38.2 Stun- den angegeben. Es fällt auf, dass die beiden Rechtsanwälte jeweils im Wechsel an der Beschwerde gearbeitet haben. In Bezug auf diese Doppel- vertretung ist festzuhalten, dass das Bundesverwaltungsgericht eine sol- che bzw. einen erhöhten Koordinationsaufwand tendenziell in umfangrei- cheren oder bei mehreren parallel geführten Verfahren grundsätzlich als zulässig erachtet (vgl. Urteile des BVGer A-2154/2012 vom 1. April 2014 E. 17.2.2, A-330/2013 vom 26. Juli 2013 E. 8.4.2.2). Vorliegend ist indes die Notwendigkeit einer Vertretung durch zwei Rechtsanwälte weder er- sichtlich noch begründet, zumal die Vertretung der Beschwerdeführerin le- diglich ein Verfahren betraf und sich dieses weder als besonders umfang- reich noch als komplex erwies. Der durch die Doppelvertretung verursachte zusätzliche Aufwand kann daher nicht entschädigt werden. Unter Berück- sichtigung des Umfangs und des Inhalts der Beschwerde erscheint ein Auf- wand von höchstens 18 Stunden (inklusive Aktenstudium, Abklärungen und Kontakte/Rücksprachen insbesondere mit der Klientschaft) als ange- messen. Entsprechend ist der geltend gemachte Aufwand für die Be- schwerde um 20.2 Stunden zu kürzen. Für die Ausarbeitung der Replik (in- klusive der beiden Fristerstreckungsgesuche) wird im Zeitraum vom 9. April bis 20. August 2020 ("final check and filing of Replik") ein Aufwand von insgesamt 22 Stunden geltend gemacht, was ebenfalls klar überhöht ist.</w:t>
      </w:r>
    </w:p>
    <w:p>
      <w:r>
        <w:t>C-5979/2019 Seite 26 Angesichts der Kürze der Replik sowie des Umstands, dass sie zudem ge- wisse Wiederholungen des Inhalts der Beschwerde enthält (z.B. ungünsti- ges Nebenwirkungsprofil von E._______), kann dafür ein Aufwand von höchstens 8 Stunden (inklusive Kontakte/Rücksprachen mit der Klient- schaft und der Gesuche um Fristerstreckung) berücksichtigt werden. Dies entspricht einer Kürzung für den Aufwand im Zusammenhang mit der Rep- lik von 14 Stunden. Im Weiteren fällt auf, dass die Rechtsvertreter für den Zeitraum vom 11. September bis 4. Oktober 2019, d.h. vor Erlass der an- gefochtenen Verfügung vom 10. Oktober 2019, Aufwände in Höhe von 3.8 Stunden geltend gemacht haben. Dazu ist festzuhalten, dass das Verwal- tungsverfahrensgesetz keine Grundlage für die Zusprechung einer Partei- entschädigung für Aufwände im erstinstanzlichen Verwaltungsverfahren enthält. Da der Gesetzgeber bewusst darauf verzichtet hat, die Möglichkeit der Zusprechung einer Parteientschädigung auch für das erstinstanzliche Verwaltungsverfahren vorzusehen, es sich mithin nicht um eine echte Lü- cke handelt, besteht auch kein Raum für eine analoge Anwendung von Art. 64 VwVG (vgl. BGE 132 II 47 E. 5.2; Urteil des BVGer B-844/2015 vom 19. Dezember 2017 E. 11.2; MARCEL MAILLARD, in: Waldmann/Weissen- berger [Hrsg.], Praxiskommentar Verwaltungsverfahrensgesetz, 2. Aufl. 2016, Art. 64 N. 1; MICHAEL BEUSCH, VwVG – Bundesgesetz über das Ver- waltungsverfahren Kommentar, 2. Aufl. 2019, Art. 64 N. 2; MO- SER/BEUSCH/KNEUBÜHLER, Prozessieren vor dem Bundesverwaltungsge- richt, 2. Aufl. 2013, S. 272 Rz. 4.87). Art. 64 VwVG ist ausschliesslich an- wendbar für das Beschwerdeverfahren, welches erst mit ordnungsgemäs- ser Eröffnung der Verfügung (vgl. dazu BGE 142 II 411 E. 4.2; Urteil des BGer 8C_721/2013 vom 4. März 2014 E. 3.1 mit weiteren Hinweisen; vgl. auch JÜRG STADELWIESER, Die Eröffnung von Verfügungen, St. Gallen 1994, S. 10 und 12) bzw. mit Auslösung der Beschwerdefrist nach Art. 50 Abs. 1 VwVG beginnen kann. Die vorliegend angefochtene Verfügung vom</w:t>
      </w:r>
    </w:p>
    <w:p>
      <w:r>
        <w:rPr>
          <w:b/>
        </w:rPr>
        <w:t>E. 10.2.4</w:t>
      </w:r>
    </w:p>
    <w:p>
      <w:r>
        <w:t>Was die in der Kostennote beantragten Stundenansätze von Fr. 500.– für Andreas Wildi und Fr. 360.– bzw. ab 1. Januar 2020 Fr. 380.– für Rechtsanwältin Celine Weber betrifft, so erweisen sich diese als über- höht. Der Stundenansatz beträgt mindestens Fr. 200.– und höchstens Fr. 400.– (Art. 7 ff. VGKE). Praxisgemäss liegt er in vergleichbaren Fällen bei Fr. 280.– bis Fr. 300.– (vgl. z.B. Urteile des BVGer C-5919/2013 vom 25. Januar 2017, C-6325/2013 vom 24. Oktober 2018, C-6560/2014 vom 27. November 2017, C-546/2010 vom 14. Oktober 2013). Vorliegend er- scheint somit ein Stundenansatz von höchstens Fr. 300.– als angemessen.</w:t>
      </w:r>
    </w:p>
    <w:p>
      <w:r>
        <w:rPr>
          <w:b/>
        </w:rPr>
        <w:t>E. 10.2.5</w:t>
      </w:r>
    </w:p>
    <w:p>
      <w:r>
        <w:t>Bezüglich der in der Kostennote geltend gemachten Spesenpau- schale von 4 % bzw. Fr. 1'236.16 ist darauf hinzuweisen, dass mangels rechtlicher Grundlage Auslagen nicht in Prozenten des Stundenaufwandes geltend zu machen sind, vielmehr ist auf den tatsächlich und notwendig entstandenen Aufwand abzustellen (vgl. bspw. Urteile des BVGer A- 4556/2011 vom 27. März 2012 E. 3.1.3, C-6325/2013 vom 24. Oktober 2018 E. 8.2.2 und C-4316/2013 vom 20. April 2016 E. 5.2). Da die tatsäch- lichen Auslagen vorliegend nicht ausgewiesen sind, sind diese aufgrund der Akten schätzungsweise auf insgesamt Fr. 300.– festzusetzen.</w:t>
      </w:r>
    </w:p>
    <w:p>
      <w:r>
        <w:rPr>
          <w:b/>
        </w:rPr>
        <w:t>E. 10.2.6</w:t>
      </w:r>
    </w:p>
    <w:p>
      <w:r>
        <w:t>Ein Mehrwertsteuerzuschlag ist den nicht mehrwertsteuerpflichtigen Rechtsvertretern (siehe unter https://www.uid.admin.ch, zuletzt besucht</w:t>
      </w:r>
    </w:p>
    <w:p>
      <w:r>
        <w:t>C-5979/2019 Seite 28 am 27. Juli 2022) nicht zuzusprechen und wurde zu Recht auch nicht gel- tend gemacht.</w:t>
      </w:r>
    </w:p>
    <w:p>
      <w:r>
        <w:rPr>
          <w:b/>
        </w:rPr>
        <w:t>E. 10.2.7</w:t>
      </w:r>
    </w:p>
    <w:p>
      <w:r>
        <w:t>Nach dem Gesagten ist der Beschwerdeführerin somit zu Lasten der Vorinstanz eine Parteientschädigung von insgesamt Fr. 9'930.– zuzu- sprechen (32.1 Stunden zu einem Stundenansatz von Fr. 300.– zuzüglich der Auslagen von Fr. 300.–). Die Vorinstanz hat keinen Anspruch auf eine Parteientschädigung (vgl. Art. 64 Abs. 1 VwVG e contrario und Art. 7 Abs. 3 VGKE).</w:t>
      </w:r>
    </w:p>
    <w:p>
      <w:r>
        <w:t>(Für das Dispositiv wird auf die nächste Seite verwiesen.)</w:t>
      </w:r>
    </w:p>
    <w:p>
      <w:r>
        <w:t>C-5979/2019 Seite 29</w:t>
      </w:r>
    </w:p>
    <w:p>
      <w:r>
        <w:rPr>
          <w:b/>
        </w:rPr>
        <w:t>E. 11</w:t>
      </w:r>
    </w:p>
    <w:p>
      <w:r>
        <w:t>September 2019 ("considerations re next steps and tc / meeting client re B._______") angeht, so ist dieser klar dem vorinstanzlichen Verfahren zuzuordnen und kann daher vorliegend nicht entschädigt werden. Die in</w:t>
      </w:r>
    </w:p>
    <w:p>
      <w:r>
        <w:t>C-5979/2019 Seite 27 der Kostennote aufgeführten Positionen vom 3. Oktober 2019 ("meeting preparation L._______ re B._______ of 4th October 2019") und 4. Oktober 2019 ("visit to KOL re B._______") betreffen eine Abklärung am L._______ (…), die erst nach Verfügungseröffnung in die Beschwerde eingeflossen ist. Da der Aufwand zwar zeitlich einige Tage vor Verfügungseröffnung ent- standen, inhaltlich aber doch dem Beschwerdeverfahren zuzuordnen ist, kann vorliegend ausnahmsweise eine Entschädigung erfolgen. Allerdings ist der geltend gemachte Aufwand von 2 Stunden für den Besuch bei Prof. Dr. med. J._______ am 4. Oktober 2019 in dieser Höhe nicht nachvollzieh- bar, zumal das Abklärungsergebnis, welches im Übrigen wohl auch telefo- nisch hätte eingeholt werden können, in der Beschwerde eher beiläufig er- wähnt wird und nur wenig Raum einnimmt (4 Sätze, vgl. BVGer-act. 1, S. 9 Rz. 23). Dieser Aufwand ist daher um eine Stunde zu kürzen. Die übrigen von den Rechtsvertretern in der Kostennote geltend gemachten Aufwands- posten erscheinen zumindest vertretbar. Insgesamt ergibt sich somit ein für das vorliegende Beschwerdeverfahren zu berücksichtigender Aufwand von insgesamt 32.1 Stunden (68.3 – 20.2 - 14 - 2).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