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C-5979/2008 vom 16. Juni 2009</w:t>
      </w:r>
    </w:p>
    <w:p>
      <w:r>
        <w:t>Bundesverwaltungsgericht, 2009-06-16, FR</w:t>
      </w:r>
    </w:p>
    <w:p>
      <w:r>
        <w:rPr>
          <w:b/>
        </w:rPr>
        <w:t xml:space="preserve">Quelle: </w:t>
      </w:r>
      <w:r>
        <w:t>https://mcp.opencaselaw.ch/entscheid/bvger_C-5979_2008</w:t>
      </w:r>
    </w:p>
    <w:p>
      <w:r>
        <w:t>FR: TAF C-5979/2008 du 16 juin 2009</w:t>
      </w:r>
    </w:p>
    <w:p>
      <w:r>
        <w:t>IT: TAF C-5979/2008 del 16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la RDC, B._______ est soumis à l'obligation du visa.</w:t>
      </w:r>
    </w:p>
    <w:p>
      <w:r>
        <w:rPr>
          <w:b/>
        </w:rPr>
        <w:t>E. 7</w:t>
      </w:r>
    </w:p>
    <w:p>
      <w:r>
        <w:t>Dans la décision attaquée, l'ODM a refusé d'autoriser l'entrée en Suisse de B._______,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8</w:t>
      </w:r>
    </w:p>
    <w:p>
      <w:r>
        <w:t>Il est vrai qu'au regard de la situation générale en RDC, on ne saurait d'emblée écarter les craintes émises par l'ODM de voir B._______ chercher à prolonger son séjour en Suisse ou dans l'Espace Schengen au-delà de la validité du visa sollicité. Il est en effet incontestable que les conditions socio-économiques qui prévalent en RDC sont défavorables. La population de ce pays a connu une forte paupérisation durant la décennie 1990 et la reprise économique amorcée en RDC au début des années 2000, grâce à l'aide internationale, demeure fragile, avec un PIB par habitant s'élevant seulement à USD 141 (cf. site du Ministère français des affaires étrangères: www.diplomatie.gouv.fr &gt; Pays - zones géo &gt; République démocratique du Congo; mis à jour le 25 mars 2009, visité le 2 juin 2009). Cela étant, la qualité de vie, les conditions économiques et l'incertitude liée à l'avenir du pays ne sont pas sans exercer une pression migratoire importante chez la population résidante en RDC, cette tendance étant encore renforcée, comme l'expérience l'a démontré, lorsque la personne concernée peut s'appuyer à l'étranger sur un réseau social (parents, amis) préexistant.</w:t>
      </w:r>
    </w:p>
    <w:p>
      <w:r>
        <w:rPr>
          <w:b/>
        </w:rPr>
        <w:t>E. 9</w:t>
      </w:r>
    </w:p>
    <w:p>
      <w:r>
        <w:t>La situation dans le pays d'origine du requérant ne suffit toutefois pas à conclure à l'absence de garantie quant à la sortie de Suisse à l'issue du séjour, toutes les particularités du cas d'espèce devant être prises en considération. En l'occurrence, B._______ a motivé sa demande de visa par le désir de passer un mois en Suisse pour y rendre visite à sa soeur, laquelle est domiciliée depuis de très longues années dans ce pays. L'examen du dossier amène à constater que le prénommé est âgé de 57 ans et dispose d'étroites attaches familiales dans son pays, dès lors qu'il est marié et père de quatre enfants, dont deux suivent des études universitaires. Il appert en outre que l'intéressé peut se prévaloir d'une situation professionnelle bien supérieure à celle de la plupart de ses compatriotes, dès lors qu'il travaille depuis 2003 au sein de l'entreprise Vodacom et qu'il y réalise un revenu mensuel moyen de plus de 1500 dollars, si l'on se réfère aux certificats de salaire versés au dossier. Aussi, compte tenu de la situation financière confortable dont il dispose dans son pays, B._______ n'apparaît guère susceptible de vouloir prolonger son séjour en Suisse pour des motifs économiques. Le Tribunal relève en outre que la durée - un mois - et les motifs de sa venue en Suisse - d'ordre uniquement familial - paraissent en adéquation avec sa situation personnelle et professionnelle. Au vu également des assurances données par la recourante, le Tribunal ne décèle aucun indice permettant de mettre en doute la bonne foi de l'invité et la volonté de son hôte de respecter le motif et la durée du visa sollicité. Il ne saurait donc partager les craintes émises par l'autorité intimée, selon laquelle l'intéressé risque de prolonger son séjour en Suisse pour y trouver des conditions de vie meilleures que celles qu'il connaît en RDC. En outre, il est manifeste que les autres conditions cumulatives de l'art. 5 LEtr sont remplies, respectivement qu'aucun motif de refus au sens de l'art. 16 OEV n'est réalisé. Au regard de ce qui précède, le Tribunal est amené à considérer que les liens familiaux et professionnels qui rattachent le requérant à son pays sont suffisamment étroits pour en déduire que son retour en RDC à l'échéance du visa requis peut être tenu, avec un haut degré de probabilité, pour garanti, conformément aux exigences posées par l'art. 5 al. 2 LEtr et qu'il remplit dès lors les conditions d'entrée en Suisse.</w:t>
      </w:r>
    </w:p>
    <w:p>
      <w:r>
        <w:rPr>
          <w:b/>
        </w:rPr>
        <w:t>E. 10</w:t>
      </w:r>
    </w:p>
    <w:p>
      <w:r>
        <w:t>Le recours est en conséquence admis, la décision attaquée annulée et la cause renvoyée pour nouvel examen à l'ODM, lequel devra déterminer si B._______ remplit les conditions d'entrée posées par le code frontières Schengen ou s'il convient, le cas échéant, de lui octroyer un visa à validité territoriale limitée en application de l'art. 2 al. 4 OEV. Obtenant gain de cause, la recourante n'a pas à supporter de frais de procédure (art. 63 al. 1 PA a contrario et art. 63 al. 3 PA). Bien qu'elle succombe, l'autorité inférieure n'a pas à supporter de frais de procédure (art. 63 al. 2 PA). Il ne se justifie par ailleurs pas d'allouer des dépens, dès lors que la recourante a agi dans la présente cause sans l'assistance d'un mandataire professionnel (cf. ATF 134 I 184 consid. 6.3, 113 Ib 357 consid. 6b, 107 Ib 283) et que l'on ne saurait considérer comme élevés les frais éventuels qu'elle a eu à supporter (cf. art. 64 al. 1 PA en relation avec l'art. 7 al.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