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C-5969/2013 vom 9. Dezember 2014</w:t>
      </w:r>
    </w:p>
    <w:p>
      <w:r>
        <w:t>Bundesverwaltungsgericht, 2014-12-09, DE</w:t>
      </w:r>
    </w:p>
    <w:p>
      <w:r>
        <w:rPr>
          <w:b/>
        </w:rPr>
        <w:t xml:space="preserve">Quelle: </w:t>
      </w:r>
      <w:r>
        <w:t>https://mcp.opencaselaw.ch/entscheid/bvger_C-5969_2013</w:t>
      </w:r>
    </w:p>
    <w:p>
      <w:r>
        <w:t>FR: TAF C-5969/2013 du 9 décembre 2014</w:t>
      </w:r>
    </w:p>
    <w:p>
      <w:r>
        <w:t>IT: TAF C-5969/2013 del 9 dicembre 2014</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Es liegt keine Ausnahme im Sinn von Art. 32 VGG vor. Das Bundesverwaltungsgericht ist daher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vom 3. September 2013 (act. 33) besonders berührt und hat ein schutzwürdiges Interesse an dessen Aufhebung oder Änderung. Sie ist daher zur Beschwerde legitimiert (Art. 48 Abs. 1 Bst. b und c VwVG; vgl. auch Art. 59 ATSG). Weiter wurde die Beschwerde form- und fristgerecht eingereicht (Art. 22a VwVG in Verbindung mit Art. 50 Abs. 1 und Art. 52 Abs. 1 VwVG; vgl. auch Art. 60 ATSG). Da somit sämtliche Prozessvoraussetzungen erfüllt sind, ist auf die Beschwerde einzutreten.</w:t>
      </w:r>
    </w:p>
    <w:p>
      <w:r>
        <w:rPr>
          <w:b/>
        </w:rPr>
        <w:t>E. 1.4</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1.5</w:t>
      </w:r>
    </w:p>
    <w:p>
      <w:r>
        <w:t>Anfechtungsobjekt ist der Einspracheentscheid vom 3. September 2013 (act. 33), mit welchem die Vorinstanz die Einsprache vom 21. Juli 2013 (act. 31) abgewiesen und die Verfügung vom 8. Juli 2013 (act. 30) betreffend amtliche Veranlagung der Beiträge für das Jahr 2012 bestätigt hat (massgebendes Einkommen: Fr. 21'300.-; AHV/IV-Beitrag: Fr. 2'087.40; Verwaltungskostenbeitrag: 5 %: Fr. 104.35 [Total: Fr. 2'191.75]). Streitig und zu prüfen ist die Rechtmässigkeit des Einspracheentscheids vom 3. September 2013.</w:t>
      </w:r>
    </w:p>
    <w:p>
      <w:r>
        <w:rPr>
          <w:b/>
        </w:rPr>
        <w:t>E. 2.1</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 Da vorliegend der Beitrag der Beschwerdeführerin für das Jahr 2012 streitig ist, kommen die im Jahr 2012 in Kraft gestandenen Bestimmungen des AHVG und der Verordnung vom 31. Oktober 1947 über die Alters- und Hinterlassenenversicherung (AHVV, SR 831.101) und der Verordnung vom 26. Mai 1961 über die freiwillige Alters-, Hinterlassenen- und Invalidenversicherung (VFV, SR 831.111) zur Anwendung.</w:t>
      </w:r>
    </w:p>
    <w:p>
      <w:r>
        <w:rPr>
          <w:b/>
        </w:rPr>
        <w:t>E. 2.2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2.3</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2.4</w:t>
      </w:r>
    </w:p>
    <w:p>
      <w:r>
        <w:t>Die Versicherten sind gehalten, der Auslandvertretung, der Ausgleichskasse und der IV-Stelle für Versicherte im Ausland alle zur Durchführung der freiwilligen Versicherung benötigten Angaben zu machen und auf Verlangen deren Richtigkeit zu belegen (Art. 5 VFV).</w:t>
      </w:r>
    </w:p>
    <w:p>
      <w:r>
        <w:rPr>
          <w:b/>
        </w:rPr>
        <w:t>E. 2.5</w:t>
      </w:r>
    </w:p>
    <w:p>
      <w:r>
        <w:t>Erwerbstätige Versicherte sind beitragspflichtig ab dem 1. Januar nach Vollendung des 17. Altersjahres; die Beitragspflicht endet am Ende des Monats, in welchem Frauen das 64. und Männer das 65. Altersjahr vollenden (Art. 13a Abs. 1 VFV). Nichterwerbstätige Versicherte sind beitragspflichtig ab dem 1. Januar nach Vollendung des 20. Altersjahres; die Beitragspflicht endet am Ende des Monats, in welchem Frauen das 64. und Männer das 65. Altersjahr vollenden (Art. 13a Abs. 2 VFV). Gemäss Art. 13a Abs. 3 VFV gelten die eigenen Beiträge als bezahlt, sofern der Ehegatte Beiträge von mindestens der doppelten Höhe des Mindestbeitrages von Art. 13b VFV bezahlt hat, bei nichterwerbstätigen Ehegatten von erwerbstätigen Versicherten (Bst. a) resp. bei Versicherten, die im Betrieb ihres Ehegatten mitarbeiten, soweit sie keinen Barlohn beziehen (Bst. b).</w:t>
      </w:r>
    </w:p>
    <w:p>
      <w:r>
        <w:rPr>
          <w:b/>
        </w:rPr>
        <w:t>E. 2.6</w:t>
      </w:r>
    </w:p>
    <w:p>
      <w:r>
        <w:t>Gemäss Art. 13b Abs. 1 VFV in der bis Ende Dezember 2012 in Kraft gewesenen Fassung belaufen sich die Beiträge der erwerbstätigen Versicherten auf 9.8 % des massgebenden Einkommens. Die Versicherten müssen mindestens den Mindestbeitrag von Fr. 756.- im Jahr entrichten. Laut Art. 13b Abs. 2 VFV in der bis Ende Dezember 2012 in Kraft gewesenen Fassung bezahlen Nichterwerbstätige auf der Grundlage ihres Vermögens und ihres Renteneinkommens einen Beitrag zwischen Fr. 756.- und Fr. 9'800.-. Die erwerbstätigen Versicherten müssen den Mindestbetrag von Fr. 914.- im Jahr entrichten (Art. 13b Abs. 1 VFV in der seit 1. Januar 2013 geltenden Fassung). Nichterwerbstätige Versicherte bezahlen einen Beitrag auf der Grundlage ihres Vermögens und ihres Renteneinkommens. Der Beitrag liegt zwischen Fr. 914.- und Fr. 22'850.- im Jahr (Art. 13b Abs. 2 VFV in der seit 1. Januar 2013 geltenden Fassung).</w:t>
      </w:r>
    </w:p>
    <w:p>
      <w:r>
        <w:rPr>
          <w:b/>
        </w:rPr>
        <w:t>E. 2.7</w:t>
      </w:r>
    </w:p>
    <w:p>
      <w:r>
        <w:t>Gemäss Art. 14 Abs. 1 VFV werden die Beiträge in Schweizer Franken für jedes Beitragsjahr festgesetzt. Als Beitragsjahr gilt das Kalenderjahr. Massgebend ist bei erwerbstätigen Versicherten das im Beitragsjahr tatsächlich erzielte Erwerbseinkommen und bei nichterwerbstätigen Versicherten das im Beitragsjahr tatsächlich erzielte Renteneinkommen und der Vermögensstand am 31. Dezember. Für die Bemessung des Einkommens aus selbständiger Erwerbstätigkeit ist das im Betrieb investierte Eigenkapital am Ende des Beitragsjahres massgebend. Der abzuziehende Zins bestimmt sich nach Art. 18 Abs. 2 AHVV. Er wird auf das nächste halbe Prozent auf- oder abgerundet (Art. 14 Abs. 2 VFV).</w:t>
      </w:r>
    </w:p>
    <w:p>
      <w:r>
        <w:rPr>
          <w:b/>
        </w:rPr>
        <w:t>E. 2.8</w:t>
      </w:r>
    </w:p>
    <w:p>
      <w:r>
        <w:t>Die Versicherten haben der Ausgleichskasse innert 30 Tagen nach Ablauf des Beitragsjahres die für die Beitragsfestsetzung erforderlichen Angaben zu liefern (Art. 14b Abs. 1 VFV; vgl. auch Rz. 4041 der Wegleitung zur freiwilligen Alters-, Hinterlassenen- und Invalidenversicherung [WFV] des Bundesamtes für Sozialversicherungen [BSV], wonach nichterwerbstätige Beitragspflichtige ihr Renteneinkommen und/oder Vermögen durch geeignete Unterlagen [z.B. Steuerrechnungen] zu belegen haben).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 Die Beiträge bzw. der Beitragssaldo ist innert 30 Tagen seit Rechnungsstellung zu bezahlen (Art. 14b Abs. 3 VFV).</w:t>
      </w:r>
    </w:p>
    <w:p>
      <w:r>
        <w:rPr>
          <w:b/>
        </w:rPr>
        <w:t>E. 2.9</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2.10</w:t>
      </w:r>
    </w:p>
    <w:p>
      <w:r>
        <w:t>Auf Beiträgen, die sie nicht innert dem auf das Beitragsjahr folgenden Kalenderjahr bezahlen, haben die Versicherten Verzugszinsen zu entrichten; die Zinsen beginnen ab dem 1. Januar nach Ablauf des Beitragsjahres zu laufen (Art. 18 Abs. 1 VFV). Die Ausgleichskasse richtet auf nicht geschuldeten Beiträgen Vergütungszinsen aus; die Zinsen beginnen ab dem 1. Januar nach Ablauf des dem Beitragsjahr folgenden Kalenderjahres zu laufen (Art. 18 Abs. 2 VFV).</w:t>
      </w:r>
    </w:p>
    <w:p>
      <w:r>
        <w:rPr>
          <w:b/>
        </w:rPr>
        <w:t>E. 2.11</w:t>
      </w:r>
    </w:p>
    <w:p>
      <w:r>
        <w:t>Die Verwaltungskostenbeiträge belaufen sich auf den in der Verordnung vom 11. Oktober 1972 über den Höchstansatz der Verwaltungskostenbeiträge in der AHV festgesetzten Maximalansatz (Art. 18a Abs. 1 VFV). Der Verwaltungskostenbeitrag ist gleichzeitig mit den Beiträgen zu erheben (Art. 18a Abs. 2 VFV).</w:t>
      </w:r>
    </w:p>
    <w:p>
      <w:r>
        <w:rPr>
          <w:b/>
        </w:rPr>
        <w:t>E. 3.1</w:t>
      </w:r>
    </w:p>
    <w:p>
      <w:r>
        <w:t>Mit Blick auf Art. 13b VFV und Art. 28 Abs. 4 in Verbindung mit Art. 28bis Abs. 1 AHVV ist entscheidend, ob die Leistungen zum Unterhalt der Beschwerdeführerin beitragen, das heisst ob es sich um Einkommensbestandteile handelt, welche die sozialen Verhältnisse der nichterwerbstätigen Person beeinflussen. Ist dies der Fall, dann müssen diese Leistungen entsprechend der Vorschrift des Art. 2 Abs. 5 AHVG (bzw. Art. 10 AHVG) bei der Beitragsberechnung berücksichtigt werden. Bei der Bemessung einer nichterwerbstätigen resp. einer unter 50 % erwerbstätigen und verheirateten versicherten Person, deren Ehegatte - wie vorliegend - der schweizerischen AHV nicht angehört, werden die Mittel des Ehegatten analog berücksichtigt (vgl. Urteil des Bundesverwaltungsgerichts C-3852/2007 vom 18. Dezember 2009 E. 4.3 mit Hinweis auf AHI-Praxis 6/1999 198 E. 3.b mit weiteren Hinweisen). Gemäss konstanter Rechtsprechung ist die in Art. 28 Abs. 4 AHVV für verheiratete Nichterwerbstätige vorgesehene Beitragsbemessung ungeachtet des Güterstandes der Eheleute gesetzes- und verfassungskonform (vgl. BGE 135 V 361 E. 5.41 mit zahlreichen Hinweisen).</w:t>
      </w:r>
    </w:p>
    <w:p>
      <w:r>
        <w:rPr>
          <w:b/>
        </w:rPr>
        <w:t>E. 3.2</w:t>
      </w:r>
    </w:p>
    <w:p>
      <w:r>
        <w:t>Die Beschwerdeführerin gab im Formular "Einkommens- und Vermögenserklärung zur Berechnung der Beiträge 2012" vom 5. Januar 2013 in Ziffer 1.2 (B. Erwerbstätige im 2012) auf die vorformulierte Frage hin zur Auskunft, weniger als 50 % und/oder 9 Monate beschäftigt zu sein. Gleichzeitig vermerkte sie handschriftlich einen Beschäftigungsgrad von 50 %. Letztere Angabe wiederholte sie auch anlässlich der Replik vom 30. Dezember 2013 (B-act. 10). Im Rahmen einer richtigen und vollständigen Sachverhaltsabklärung wäre es Sache der Vorinstanz gewesen, mittels entsprechender Beweisvorkehren diesen Widerspruch zu beseitigen, da sich die Beiträge der Beschwerdeführerin nur im Falle der Anwendung von Art. 28 Abs. 4 und Art. 28bis AHVV in Verbindung mit Art. 10 Abs. 1 bis 3 AHVG sowie Art. 25 VFV aufgrund der Hälfte des ehelichen Vermögens und Renteneinkommens bemessen. Somit wurde der Sachverhalt nicht rechtsgenüglich abgeklärt und gewürdigt (vgl. Art. 43 ff. ATSG und Art. 12 VwVG). Eine Rückweisung der Sache in Nachachtung des Untersuchungsgrundsatzes (Art. 43 Abs. 1 ATSG) an die Vorinstanz zur weiteren Abklärung drängt sich deshalb auf, da weiterer Abklärungsbedarf besteht und verwertbaren entscheidrelevanten Erkenntnisse zu erwarten sind (zum gegenteiligen Fall [antizipierten Beweiswürdigung] vgl. BGE 131 I 153 E. 3; SVR 2007 IV Nr. 45 S. 149 E. 4; Urteil des BGer I 9/07 vom 9. Februar 2007 E. 4).</w:t>
      </w:r>
    </w:p>
    <w:p>
      <w:r>
        <w:rPr>
          <w:b/>
        </w:rPr>
        <w:t>E. 3.3</w:t>
      </w:r>
    </w:p>
    <w:p>
      <w:r>
        <w:t>Weiterer Abklärungsbedarf ergibt sich auch hinsichtlich der von der Beschwerdeführerin eingereichten Kontoauszüge. Diesen ist - soweit für das Bundesverwaltungsgericht ersichtlich - nicht zu entnehmen, ob die Beschwerdeführerin über das betreffende Konto allein verfügungsberechtigt ist, oder ob es sich dabei um ein (eheliches) Gemeinschaftskonto (mit alleiniger oder gemeinsamer Verfügungsgewalt der Eheleute) handelt. Da in erster Linie die Vorinstanz für die richtige und vollständige Sachverhaltsabklärung zu sorgen hat (Art. 43 Abs. 1 ATSG), wäre es an ihr gewesen, bei Erforderlichkeit - wie vorliegend - eine Übersetzung anzuordnen (vgl. hierzu Urteil des Bundesverwaltungsgerichts C-4598/2007 Urteil vom 27. Mai 2009 E. 5). Denn gemäss Art. 15 des am 1. Oktober 1985 in Kraft getretenen Abkommens zwischen der Schweizerischen Eidgenossenschaft und dem Staat Israel über Soziale Sicherheit (SR 0.831.109.449.1) dürfen Träger, Behörden und Gerichte eines Vertragsstaates Eingaben oder sonstige Schriftstücke nicht aus Gründen der Sprache zurückweisen, wenn sie in einer Amtssprache des anderen Vertragsstaates oder in englischer Sprache abgefasst sind (Abs. 1). Bei der Anwendung dieses Abkommens können die Träger, Behörden und Gerichte der Vertragsstaaten miteinander und mit den beteiligten Personen oder deren Vertretern unmittelbar oder über die Verbindungsstellen in ihren Amtssprachen oder in englischer Sprache verkehren. Unter diesen Umständen kann die Auffassung der Vorinstanz, wonach bei Dokumenten, die nicht in einer Landes- oder Weltsprache abgefasst seien, grundsätzlich von den versicherten Personen eine Übersetzung verlangt werde, nicht gefolgt werden.</w:t>
      </w:r>
    </w:p>
    <w:p>
      <w:r>
        <w:rPr>
          <w:b/>
        </w:rPr>
        <w:t>E. 4</w:t>
      </w:r>
    </w:p>
    <w:p>
      <w:r>
        <w:t>Im Zusammenhang mit der Frage, ob die Beschwerdeführerin die nötigen Angaben zur Festsetzung der Beiträge für das Jahr 2012 erteilt hat und damit ihren Mitwirkungspflichten gemäss Art. 28 ATSG in rechtsgenüglicher Weise nachgekommen ist, ist ergänzend was folgt festzustellen:</w:t>
      </w:r>
    </w:p>
    <w:p>
      <w:r>
        <w:rPr>
          <w:b/>
        </w:rPr>
        <w:t>E. 4.1</w:t>
      </w:r>
    </w:p>
    <w:p>
      <w:r>
        <w:t>Zwar beantwortete die Beschwerdeführerin die im Formular "Einkommens- und Vermögenserklärung zur Berechnung der Beiträge 2012" unter Ziffer 2 ("erhaltene Renteneinkommen während des Beitragsjahres 2012") aufgeführten Fragen nicht ausdrücklich. Indem sie diese jedoch durchgestrichen hatte, ist ohne weiteres davon auszugehen, dass weder sie noch ihr Ehegatte im massgeblichen Jahr 2012 über sozial- und/oder privatversicherungsrechtliche Renteneinkommen verfügten und ihr Ehemann nicht erwerbstätig war resp. ein Einkommen generiert hatte; letzteres bestätigte die Versicherte überdies explizit in ihrer Einsprache vom 21. Juli 2013 (act. 31). Unter diesen Umständen erübrigte sich - mangels Vorhandenseins - die Einreichung der entsprechenden, von der Vorinstanz mit Schreiben vom 28. Februar 2013 (act. 26) verlangten Belege, zumal die Beschwerdeführerin bereits im Rahmen des Formulars "Erklärung über Einkommen und Vermögen zwecks Festsetzung der Beiträge 2010" die Ziffern 1.4 bis 1.6 (Fragen nach der Erwerbstätigkeit, des Einkommens und der Renten und/oder Unterhaltsleistungen des Ehemannes; act. 11) durchgestrichen hatte und entsprechende, weitergehende Belege damals von der Vorinstanz nicht verlangt worden waren.</w:t>
      </w:r>
    </w:p>
    <w:p>
      <w:r>
        <w:rPr>
          <w:b/>
        </w:rPr>
        <w:t>E. 4.2</w:t>
      </w:r>
    </w:p>
    <w:p>
      <w:r>
        <w:t>Betreffend die Fragen nach Grund- resp. Wohneigentum wurde die Beschwerdeführerin schon mit Schreiben vom 24. Januar 2011 gefragt, ob sie solches "besitze" (act. 12), worauf sie der Vorinstanz mit Schreiben vom 13. Februar 2011 mitgeteilt hatte, dass sie zusammen im Haus der Schwiegereltern wohnten und über keine eigene Wohnung verfügten (act. 13). In diesem Zusammenhang ist festzuhalten, dass sie bereits im Formular betreffend die Einkommen und Vermögen zwecks Festsetzung der Beiträge 2010 vom 13. Dezember 2010 die entsprechende Ziffer 1.2 (A. Nichterwerbstätige; Immobilien) durchgestrichen hatte (act. 11). Es wäre zwar denkbar, dass sich die Verhältnisse bis zum Brief der Vorinstanz vom 28. Februar 2013 (act. 26) resp. bis zum Mahnschreiben vom 7. Mai 2013 ebenfalls verändert haben könnten. Aufgrund des Umstands, dass die Beschwerdeführerin im Formular "Einkommens- und Vermögenserklärung zur Berechnung der Beiträge 2012" vom 5. Januar 2013 (act. 25) die Ziffer 1.2 (A. Nichterwerbstätige; Immobilien im In- und Ausland der Beschwerdeführerin und ihres Ehemannes) ebenfalls durchgestrichen hat, ist mit Blick auf die Akten jedoch mit überwiegender Wahrscheinlichkeit (vgl. BGE 138 V 218 E. 6) davon auszugehen, dass die Beschwerdeführerin und ihr Ehemann auch weiterhin resp. im massgeblichen Zeitpunkt des angefochtenen Einspracheentscheids vom 3. September 2013 keine Eigentümer von Immobilien waren.</w:t>
      </w:r>
    </w:p>
    <w:p>
      <w:r>
        <w:rPr>
          <w:b/>
        </w:rPr>
        <w:t>E. 5</w:t>
      </w:r>
    </w:p>
    <w:p>
      <w:r>
        <w:t>Aufgrund der vorstehenden Erwägungen ist zusammenfassend festzuhalten, dass die Vorinstanz ihrer Sachverhaltsabklärungspflicht gemäss Art. 43 ATSG nicht rechtsgenüglich nachgekommen ist. Die Beschwerdeführerin musste zu standardisierten Fragen der Vorinstanz nicht explizit Stellung nehmen resp. kann jener keine Verletzung ihrer Mitwirkungspflicht gemäss Art. 28 ATSG vorgeworfen werden. Unter diesen Umständen ist die Beschwerde gutzuheissen, der die amtliche Veranlagungsverfügung vom 8. Juli 2013 (act. 30) bestätigende Einspracheentscheid vom 3. September 2013 (act. 33) aufzuheben und die Akten im Sinne der Erwägungen zum Erlass einer neuen Beitragsverfügung an die Vorinstanz zurückzuweisen. Bei diesem Ergebnis kann offen bleiben, ob die Vorinstanz die amtliche Beitragsbemessung korrekt vorgenommen hat.</w:t>
      </w:r>
    </w:p>
    <w:p>
      <w:r>
        <w:rPr>
          <w:b/>
        </w:rPr>
        <w:t>E. 6</w:t>
      </w:r>
    </w:p>
    <w:p>
      <w:r>
        <w:t>Zu befinden bleibt noch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der obsiegenden Beschwerdeführerin, welche nicht an­waltlich vertreten ist, keine unverhältnismässig hohen Kosten entstanden sind resp. sie keine solchen geltend gemacht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