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C-5969/2010 vom 22. Februar 2011</w:t>
      </w:r>
    </w:p>
    <w:p>
      <w:r>
        <w:t>Bundesverwaltungsgericht, 2011-02-22, DE</w:t>
      </w:r>
    </w:p>
    <w:p>
      <w:r>
        <w:rPr>
          <w:b/>
        </w:rPr>
        <w:t xml:space="preserve">Quelle: </w:t>
      </w:r>
      <w:r>
        <w:t>https://mcp.opencaselaw.ch/entscheid/bvger_C-5969_2010</w:t>
      </w:r>
    </w:p>
    <w:p>
      <w:r>
        <w:t>FR: TAF C-5969/2010 du 22 février 2011</w:t>
      </w:r>
    </w:p>
    <w:p>
      <w:r>
        <w:t>IT: TAF C-5969/2010 del 22 febbraio 2011</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frist- und formgerecht eingereichte Be­schwerde ist somit einzutreten (Art. 49 ff.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(Urteil des Bundesgerichts 2A.451/2002 vom 28. März 2003, in BGE 129 II 215 nicht publizierte E. 1.2).</w:t>
      </w:r>
    </w:p>
    <w:p>
      <w:r>
        <w:rPr>
          <w:b/>
        </w:rPr>
        <w:t>E. 3.1</w:t>
      </w:r>
    </w:p>
    <w:p>
      <w:r>
        <w:t>Mit dem Bundesbeschluss über die Genehmigung und die Umset­zung des Notenaustauschs zwischen der Schweiz und der EG betref­fend die Übernahme der EG-Rückführungsrichtlinie (Richtlinie 2008/115/EG) vom 18. Juni 2010 (AS 2010 5925) wurde Art. 67 des Bundesgesetzes vom 16. Dezember 2005 über die Ausländerinnen und Ausländer (AuG, SR 142.20) mit Wirkung per 1. Januar 2011 ohne eine Übergangsregelung revidiert. Diese Rechtsänderung ist für den vorliegenden Fall nur insoweit von Relevanz, als dem Beschwerdeführer unter anderem die Nichtbeachtung einer Ausreisefrist vorgeworfen wird und nach dem neuen Art. 67 Abs. 1 Bst. b AuG ein solches Fehlverhalten unter dem Vorbehalt humanitärer oder anderer wichtiger Gründe nach Abs. 5 zwingend ein Einreiseverbot verlangt. Das Abstellen auf den neuen Art. 67 Abs. 1 Bst. b AuG wäre in casu eine echte Rückwirkung, die mangels einer hinreichenden gesetzlichen Grundlage unzulässig ist. Ansonsten steht der Anwendung des neuen Rechts - auf das nachfolgend der Einfachheit halber allein Bezug genommen wird - nichts entgegen.</w:t>
      </w:r>
    </w:p>
    <w:p>
      <w:r>
        <w:rPr>
          <w:b/>
        </w:rPr>
        <w:t>E. 3.2</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3.4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4.1</w:t>
      </w:r>
    </w:p>
    <w:p>
      <w:r>
        <w:t>Der Beschwerdeführer hat die mit Urteil des Verwaltungsgerichts des Kantons Bern vom 7. April 2010 auf den 20. Mai 2010 angesetzte Ausreise­frist missachtet und ist in der Schweiz verblieben. Mit Ablauf der ihm gesetzten Ausreisefrist war sein weiterer Auf­enthalt in der Schweiz rechtswidrig. Daran ändert nichts, dass der Be­schwerdeführer am 27. Mai 2010 bei der kommunalen Migrationsbehörde ein Gesuch um Neuertei­lung einer Aufenthaltsbewilligung deponierte und gleichzeitig um Suspendie­rung von der Ausreiseverpflichtung ersuchte. Die angegangene Behörde lehnte das Gesuch im Übrigen schon tags dar­auf ab und for­derte den Beschwerdeführer erneut auf, das Land nun­mehr ohne Verzug zu verlassen. Auch diese Aufforderung liess er jedoch unbeachtet. Selbst nach dem Eheschluss vom 7. Juni 2010 - an dessen Realisierung ihm offen­sichtlich viel lag - reiste der Beschwer­deführer nicht aus. Er stellte sich erst am 22. Juli 2010 den Behörden, nachdem diese intensive Nachfor­schungen über seinen Verbleib angestellt hatten.</w:t>
      </w:r>
    </w:p>
    <w:p>
      <w:r>
        <w:rPr>
          <w:b/>
        </w:rPr>
        <w:t>E. 4.2</w:t>
      </w:r>
    </w:p>
    <w:p>
      <w:r>
        <w:t>Die vom Beschwerdeführer wiederholt begangene Missachtung behördlicher Anordnungen lässt sich weder mit seiner besonderen Interessenlage (auf Dispensierung von der Ausreiseverpflichtung im Hinblick auf eine erneute Heirat mit anschliessender Aufenthaltsregelung) noch damit rechtfertigen, dass er aus der schliesslich erfolgten Heirat ein Recht auf Anwesenheit ableitete.</w:t>
      </w:r>
    </w:p>
    <w:p>
      <w:r>
        <w:rPr>
          <w:b/>
        </w:rPr>
        <w:t>E. 4.3</w:t>
      </w:r>
    </w:p>
    <w:p>
      <w:r>
        <w:t>Im Übri­gen wurde der Beschwerdeführer von der Migrationsbehörde der Stadt Thun am 25. Juni 2010 beim zuständigen Untersuchungsrichteramt gestützt auf die Strafnorm von Art. 115 Abs. 1 Bst. b AuG (rechtswidrige Anwesenheit nach Ablauf eines bewilligten Aufenthalts) zur Anzeige ge­bracht.</w:t>
      </w:r>
    </w:p>
    <w:p>
      <w:r>
        <w:rPr>
          <w:b/>
        </w:rPr>
        <w:t>E. 4.4</w:t>
      </w:r>
    </w:p>
    <w:p>
      <w:r>
        <w:t>Tritt hinzu, dass der Beschwerdeführer schliesslich in Ausschaffungshaft genommen werden musste. Mit seinem Verhalten hat er Fernhaltegründe im Sinne von Art. 67 Abs. 2 Bst. a und c AuG gesetzt.</w:t>
      </w:r>
    </w:p>
    <w:p>
      <w:r>
        <w:rPr>
          <w:b/>
        </w:rPr>
        <w:t>E. 5</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5.1</w:t>
      </w:r>
    </w:p>
    <w:p>
      <w:r>
        <w:t>Das Fehlverhalten des Beschwerdeführers wiegt objektiv nicht leicht, hat er doch die wiederholte Aufforderung zur Ausreise missach­tet und sich während längerer Zeit rechtswidrig in der Schweiz aufgehal­ten. Damit wurden Normen verletzt, die für das Funktionie­ren der ausländerrechtlichen Ordnung von zentraler Bedeu­tung sind. Entspre­chend besteht ein gewichtiges öffentliches Interesse an einer zeit­lich befristeten Fernhaltung.</w:t>
      </w:r>
    </w:p>
    <w:p>
      <w:r>
        <w:rPr>
          <w:b/>
        </w:rPr>
        <w:t>E. 5.2</w:t>
      </w:r>
    </w:p>
    <w:p>
      <w:r>
        <w:t>Der Beschwerdeführer beruft sich demgegenüber auf seine Ehe mit einer Schweizerbürgerin und die Absicht, hier in der Schweiz Familienle­ben zu verwirklichen. Eine Verwirklichung dieser Interessen scheitert allerdings nicht erst am aus­gesprochenen Einreiseverbot, son­dern schon an der fehlenden Auf­enthaltsregelung. Entsprechende Ansprüche wären im Rahmen eines durch die nunmehrige Ehegattin bei der an ihrem Wohnsitz zuständigen Migrationsbehörde einzureichenden Gesuchs um Familiennachzug zu prüfen und würden - falls von den zuständigen Instanzen bejaht - zur Rücknahme des Ein­reiseverbots führen. Einem solchen Schritt stünde die (unangefochten gebliebene) Verfügung der Migrationsbehörde von Thun vom 28. Mai 2010 offensichtlich nicht im Weg, wurden doch darin allfällige Ansprü­che aus der (damals erst in Aussicht gestellten) Heirat materiell gar nicht geprüft; das Gesuch vielmehr schon aus formellen Gründen ab­gewiesen.</w:t>
      </w:r>
    </w:p>
    <w:p>
      <w:r>
        <w:rPr>
          <w:b/>
        </w:rPr>
        <w:t>E. 5.3</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dem Beschwerdeführer die Kosten aufzuerlegen (Art. 63 Abs. 1 VwVG i.V.m.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